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lang w:val="en-US" w:eastAsia="zh-CN"/>
        </w:rPr>
      </w:pPr>
    </w:p>
    <w:p>
      <w:pPr>
        <w:jc w:val="center"/>
        <w:rPr>
          <w:rFonts w:hint="eastAsia"/>
          <w:sz w:val="84"/>
          <w:szCs w:val="84"/>
          <w:lang w:val="en-US" w:eastAsia="zh-CN"/>
        </w:rPr>
      </w:pPr>
    </w:p>
    <w:p>
      <w:pPr>
        <w:jc w:val="center"/>
        <w:rPr>
          <w:rFonts w:hint="eastAsia"/>
          <w:lang w:val="en-US" w:eastAsia="zh-CN"/>
        </w:rPr>
      </w:pPr>
      <w:r>
        <w:rPr>
          <w:rFonts w:hint="eastAsia"/>
          <w:b/>
          <w:bCs/>
          <w:sz w:val="84"/>
          <w:szCs w:val="84"/>
          <w:lang w:val="en-US" w:eastAsia="zh-CN"/>
        </w:rPr>
        <w:t>自行检验方案</w:t>
      </w: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山东华星石油化工集团有限公司</w:t>
      </w: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both"/>
        <w:rPr>
          <w:rFonts w:hint="eastAsia"/>
          <w:sz w:val="52"/>
          <w:szCs w:val="52"/>
          <w:lang w:val="en-US" w:eastAsia="zh-CN"/>
        </w:rPr>
      </w:pPr>
    </w:p>
    <w:p>
      <w:pPr>
        <w:numPr>
          <w:ilvl w:val="0"/>
          <w:numId w:val="1"/>
        </w:numPr>
        <w:jc w:val="left"/>
        <w:rPr>
          <w:rFonts w:hint="eastAsia"/>
          <w:sz w:val="28"/>
          <w:szCs w:val="28"/>
          <w:lang w:val="en-US" w:eastAsia="zh-CN"/>
        </w:rPr>
      </w:pPr>
      <w:r>
        <w:rPr>
          <w:rFonts w:hint="eastAsia"/>
          <w:sz w:val="28"/>
          <w:szCs w:val="28"/>
          <w:lang w:val="en-US" w:eastAsia="zh-CN"/>
        </w:rPr>
        <w:t>公司基本情况：</w:t>
      </w:r>
    </w:p>
    <w:p>
      <w:pPr>
        <w:adjustRightInd w:val="0"/>
        <w:snapToGrid w:val="0"/>
        <w:spacing w:before="156" w:beforeLines="50" w:after="0"/>
        <w:jc w:val="center"/>
        <w:rPr>
          <w:rFonts w:ascii="宋体" w:hAnsi="宋体" w:eastAsia="宋体"/>
          <w:b/>
          <w:color w:val="000000"/>
          <w:sz w:val="21"/>
          <w:szCs w:val="21"/>
        </w:rPr>
      </w:pPr>
      <w:r>
        <w:rPr>
          <w:rFonts w:ascii="宋体" w:hAnsi="宋体" w:eastAsia="宋体"/>
          <w:b/>
          <w:color w:val="000000"/>
          <w:sz w:val="21"/>
          <w:szCs w:val="21"/>
        </w:rPr>
        <w:t>排污单位基本信息表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061"/>
        <w:gridCol w:w="2242"/>
        <w:gridCol w:w="2392"/>
        <w:gridCol w:w="2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单位名称</w:t>
            </w:r>
          </w:p>
        </w:tc>
        <w:tc>
          <w:tcPr>
            <w:tcW w:w="0" w:type="auto"/>
            <w:noWrap w:val="0"/>
            <w:vAlign w:val="center"/>
          </w:tcPr>
          <w:p>
            <w:pPr>
              <w:rPr>
                <w:rFonts w:hint="eastAsia" w:ascii="宋体" w:hAnsi="宋体" w:eastAsia="宋体"/>
                <w:sz w:val="21"/>
                <w:szCs w:val="21"/>
              </w:rPr>
            </w:pPr>
            <w:r>
              <w:rPr>
                <w:rFonts w:hint="eastAsia" w:ascii="宋体" w:hAnsi="宋体" w:eastAsia="宋体"/>
                <w:sz w:val="21"/>
                <w:szCs w:val="21"/>
              </w:rPr>
              <w:t>山东华星石油化工集团有限公司</w:t>
            </w:r>
          </w:p>
        </w:tc>
        <w:tc>
          <w:tcPr>
            <w:tcW w:w="0" w:type="auto"/>
            <w:noWrap w:val="0"/>
            <w:vAlign w:val="center"/>
          </w:tcPr>
          <w:p>
            <w:pPr>
              <w:rPr>
                <w:rFonts w:ascii="宋体" w:hAnsi="宋体" w:eastAsia="宋体"/>
                <w:sz w:val="21"/>
                <w:szCs w:val="21"/>
              </w:rPr>
            </w:pPr>
            <w:r>
              <w:rPr>
                <w:rFonts w:ascii="宋体" w:hAnsi="宋体" w:eastAsia="宋体"/>
                <w:sz w:val="21"/>
                <w:szCs w:val="21"/>
              </w:rPr>
              <w:t>注册地址</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广饶县大王镇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生产经营场所地址</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山东省东营市广饶县大王镇潍高路1号</w:t>
            </w:r>
          </w:p>
        </w:tc>
        <w:tc>
          <w:tcPr>
            <w:tcW w:w="0" w:type="auto"/>
            <w:noWrap w:val="0"/>
            <w:vAlign w:val="center"/>
          </w:tcPr>
          <w:p>
            <w:pPr>
              <w:rPr>
                <w:rFonts w:ascii="宋体" w:hAnsi="宋体" w:eastAsia="宋体"/>
                <w:sz w:val="21"/>
                <w:szCs w:val="21"/>
              </w:rPr>
            </w:pPr>
            <w:r>
              <w:rPr>
                <w:rFonts w:ascii="宋体" w:hAnsi="宋体" w:eastAsia="宋体"/>
                <w:sz w:val="21"/>
                <w:szCs w:val="21"/>
              </w:rPr>
              <w:t>邮政编码（1）</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257335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行业类别</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原油加工及石油制品制造，锅炉</w:t>
            </w:r>
          </w:p>
        </w:tc>
        <w:tc>
          <w:tcPr>
            <w:tcW w:w="0" w:type="auto"/>
            <w:noWrap w:val="0"/>
            <w:vAlign w:val="center"/>
          </w:tcPr>
          <w:p>
            <w:pPr>
              <w:rPr>
                <w:rFonts w:ascii="宋体" w:hAnsi="宋体" w:eastAsia="宋体"/>
                <w:sz w:val="21"/>
                <w:szCs w:val="21"/>
              </w:rPr>
            </w:pPr>
            <w:r>
              <w:rPr>
                <w:rFonts w:ascii="宋体" w:hAnsi="宋体" w:eastAsia="宋体"/>
                <w:sz w:val="21"/>
                <w:szCs w:val="21"/>
              </w:rPr>
              <w:t>是否投产（2）</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投产日期（3）</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1994-06-01</w:t>
            </w:r>
          </w:p>
        </w:tc>
        <w:tc>
          <w:tcPr>
            <w:tcW w:w="0" w:type="auto"/>
            <w:noWrap w:val="0"/>
            <w:vAlign w:val="center"/>
          </w:tcPr>
          <w:p>
            <w:pPr>
              <w:rPr>
                <w:rFonts w:ascii="宋体" w:hAnsi="宋体" w:eastAsia="宋体"/>
                <w:sz w:val="21"/>
                <w:szCs w:val="21"/>
              </w:rPr>
            </w:pPr>
          </w:p>
        </w:tc>
        <w:tc>
          <w:tcPr>
            <w:tcW w:w="0" w:type="auto"/>
            <w:noWrap w:val="0"/>
            <w:vAlign w:val="center"/>
          </w:tcPr>
          <w:p>
            <w:pPr>
              <w:ind w:firstLine="525" w:firstLineChars="250"/>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生产经营场所中心经度（4）</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118°32′50″</w:t>
            </w:r>
          </w:p>
        </w:tc>
        <w:tc>
          <w:tcPr>
            <w:tcW w:w="0" w:type="auto"/>
            <w:noWrap w:val="0"/>
            <w:vAlign w:val="center"/>
          </w:tcPr>
          <w:p>
            <w:pPr>
              <w:rPr>
                <w:rFonts w:ascii="宋体" w:hAnsi="宋体" w:eastAsia="宋体"/>
                <w:sz w:val="21"/>
                <w:szCs w:val="21"/>
              </w:rPr>
            </w:pPr>
            <w:r>
              <w:rPr>
                <w:rFonts w:ascii="宋体" w:hAnsi="宋体" w:eastAsia="宋体"/>
                <w:sz w:val="21"/>
                <w:szCs w:val="21"/>
              </w:rPr>
              <w:t>生产经营场所中心纬度（5）</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36°58′20″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0" w:type="auto"/>
            <w:tcBorders>
              <w:bottom w:val="single" w:color="auto" w:sz="4" w:space="0"/>
            </w:tcBorders>
            <w:noWrap w:val="0"/>
            <w:vAlign w:val="center"/>
          </w:tcPr>
          <w:p>
            <w:pPr>
              <w:rPr>
                <w:rFonts w:ascii="宋体" w:hAnsi="宋体" w:eastAsia="宋体"/>
                <w:sz w:val="21"/>
                <w:szCs w:val="21"/>
              </w:rPr>
            </w:pPr>
            <w:r>
              <w:rPr>
                <w:rFonts w:ascii="宋体" w:hAnsi="宋体" w:eastAsia="宋体"/>
                <w:sz w:val="21"/>
                <w:szCs w:val="21"/>
              </w:rPr>
              <w:t>组织机构代码</w:t>
            </w:r>
          </w:p>
        </w:tc>
        <w:tc>
          <w:tcPr>
            <w:tcW w:w="0" w:type="auto"/>
            <w:tcBorders>
              <w:bottom w:val="single" w:color="auto" w:sz="4" w:space="0"/>
            </w:tcBorders>
            <w:noWrap w:val="0"/>
            <w:vAlign w:val="center"/>
          </w:tcPr>
          <w:p>
            <w:pPr>
              <w:rPr>
                <w:rFonts w:ascii="宋体" w:hAnsi="宋体" w:eastAsia="宋体"/>
                <w:sz w:val="21"/>
                <w:szCs w:val="21"/>
              </w:rPr>
            </w:pPr>
          </w:p>
        </w:tc>
        <w:tc>
          <w:tcPr>
            <w:tcW w:w="0" w:type="auto"/>
            <w:tcBorders>
              <w:bottom w:val="single" w:color="auto" w:sz="4" w:space="0"/>
            </w:tcBorders>
            <w:noWrap w:val="0"/>
            <w:vAlign w:val="center"/>
          </w:tcPr>
          <w:p>
            <w:pPr>
              <w:rPr>
                <w:rFonts w:ascii="宋体" w:hAnsi="宋体" w:eastAsia="宋体"/>
                <w:sz w:val="21"/>
                <w:szCs w:val="21"/>
              </w:rPr>
            </w:pPr>
            <w:r>
              <w:rPr>
                <w:rFonts w:ascii="宋体" w:hAnsi="宋体" w:eastAsia="宋体"/>
                <w:sz w:val="21"/>
                <w:szCs w:val="21"/>
              </w:rPr>
              <w:t>统一社会信用代码</w:t>
            </w:r>
          </w:p>
        </w:tc>
        <w:tc>
          <w:tcPr>
            <w:tcW w:w="0" w:type="auto"/>
            <w:tcBorders>
              <w:bottom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913705231649600328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0" w:type="auto"/>
            <w:tcBorders>
              <w:top w:val="single" w:color="auto" w:sz="4" w:space="0"/>
              <w:left w:val="single" w:color="auto" w:sz="12"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技术</w:t>
            </w:r>
            <w:r>
              <w:rPr>
                <w:rFonts w:ascii="宋体" w:hAnsi="宋体" w:eastAsia="宋体"/>
                <w:sz w:val="21"/>
                <w:szCs w:val="21"/>
              </w:rPr>
              <w:t>负责人</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曲媛媛</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ascii="宋体" w:hAnsi="宋体" w:eastAsia="宋体"/>
                <w:sz w:val="21"/>
                <w:szCs w:val="21"/>
              </w:rPr>
              <w:t>联系电话</w:t>
            </w:r>
          </w:p>
        </w:tc>
        <w:tc>
          <w:tcPr>
            <w:tcW w:w="0" w:type="auto"/>
            <w:tcBorders>
              <w:top w:val="single" w:color="auto" w:sz="4" w:space="0"/>
              <w:left w:val="single" w:color="auto" w:sz="4" w:space="0"/>
              <w:bottom w:val="single" w:color="auto" w:sz="4" w:space="0"/>
              <w:right w:val="single" w:color="auto" w:sz="12" w:space="0"/>
            </w:tcBorders>
            <w:noWrap w:val="0"/>
            <w:vAlign w:val="center"/>
          </w:tcPr>
          <w:p>
            <w:pPr>
              <w:rPr>
                <w:rFonts w:ascii="宋体" w:hAnsi="宋体" w:eastAsia="宋体"/>
                <w:sz w:val="21"/>
                <w:szCs w:val="21"/>
              </w:rPr>
            </w:pPr>
            <w:r>
              <w:rPr>
                <w:rFonts w:hint="eastAsia" w:ascii="宋体" w:hAnsi="宋体" w:eastAsia="宋体"/>
                <w:sz w:val="21"/>
                <w:szCs w:val="21"/>
              </w:rPr>
              <w:t>15275630618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0" w:type="auto"/>
            <w:tcBorders>
              <w:top w:val="single" w:color="auto" w:sz="4" w:space="0"/>
              <w:left w:val="single" w:color="auto" w:sz="12" w:space="0"/>
              <w:bottom w:val="single" w:color="auto" w:sz="4" w:space="0"/>
              <w:right w:val="single" w:color="auto" w:sz="4" w:space="0"/>
            </w:tcBorders>
            <w:noWrap w:val="0"/>
            <w:vAlign w:val="center"/>
          </w:tcPr>
          <w:p>
            <w:pPr>
              <w:rPr>
                <w:rFonts w:ascii="宋体" w:hAnsi="宋体" w:eastAsia="宋体"/>
                <w:sz w:val="21"/>
                <w:szCs w:val="21"/>
              </w:rPr>
            </w:pPr>
            <w:r>
              <w:rPr>
                <w:rFonts w:ascii="宋体" w:hAnsi="宋体" w:eastAsia="宋体"/>
                <w:sz w:val="21"/>
                <w:szCs w:val="21"/>
              </w:rPr>
              <w:t>所在地是否属于</w:t>
            </w:r>
            <w:r>
              <w:rPr>
                <w:rFonts w:hint="eastAsia" w:ascii="宋体" w:hAnsi="宋体" w:eastAsia="宋体"/>
                <w:sz w:val="21"/>
                <w:szCs w:val="21"/>
              </w:rPr>
              <w:t>大气</w:t>
            </w:r>
            <w:r>
              <w:rPr>
                <w:rFonts w:ascii="宋体" w:hAnsi="宋体" w:eastAsia="宋体"/>
                <w:sz w:val="21"/>
                <w:szCs w:val="21"/>
              </w:rPr>
              <w:t>重点</w:t>
            </w:r>
            <w:r>
              <w:rPr>
                <w:rFonts w:hint="eastAsia" w:ascii="宋体" w:hAnsi="宋体" w:eastAsia="宋体"/>
                <w:sz w:val="21"/>
                <w:szCs w:val="21"/>
              </w:rPr>
              <w:t>控制</w:t>
            </w:r>
            <w:r>
              <w:rPr>
                <w:rFonts w:ascii="宋体" w:hAnsi="宋体" w:eastAsia="宋体"/>
                <w:sz w:val="21"/>
                <w:szCs w:val="21"/>
              </w:rPr>
              <w:t>区（6）</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否</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ascii="宋体" w:hAnsi="宋体" w:eastAsia="宋体"/>
                <w:sz w:val="21"/>
                <w:szCs w:val="21"/>
              </w:rPr>
              <w:t>所在地是否属于</w:t>
            </w:r>
            <w:r>
              <w:rPr>
                <w:rFonts w:hint="eastAsia" w:ascii="宋体" w:hAnsi="宋体" w:eastAsia="宋体"/>
                <w:sz w:val="21"/>
                <w:szCs w:val="21"/>
              </w:rPr>
              <w:t>总磷控制区（7）</w:t>
            </w:r>
          </w:p>
        </w:tc>
        <w:tc>
          <w:tcPr>
            <w:tcW w:w="0" w:type="auto"/>
            <w:tcBorders>
              <w:top w:val="single" w:color="auto" w:sz="4" w:space="0"/>
              <w:left w:val="single" w:color="auto" w:sz="4" w:space="0"/>
              <w:bottom w:val="single" w:color="auto" w:sz="4" w:space="0"/>
              <w:right w:val="single" w:color="auto" w:sz="12" w:space="0"/>
            </w:tcBorders>
            <w:noWrap w:val="0"/>
            <w:vAlign w:val="center"/>
          </w:tcPr>
          <w:p>
            <w:pPr>
              <w:rPr>
                <w:rFonts w:ascii="宋体" w:hAnsi="宋体" w:eastAsia="宋体"/>
                <w:sz w:val="21"/>
                <w:szCs w:val="21"/>
              </w:rPr>
            </w:pPr>
            <w:r>
              <w:rPr>
                <w:rFonts w:hint="eastAsia" w:ascii="宋体" w:hAnsi="宋体" w:eastAsia="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0" w:type="auto"/>
            <w:tcBorders>
              <w:top w:val="single" w:color="auto" w:sz="4" w:space="0"/>
              <w:left w:val="single" w:color="auto" w:sz="12" w:space="0"/>
              <w:bottom w:val="single" w:color="auto" w:sz="4" w:space="0"/>
              <w:right w:val="single" w:color="auto" w:sz="4" w:space="0"/>
            </w:tcBorders>
            <w:noWrap w:val="0"/>
            <w:vAlign w:val="center"/>
          </w:tcPr>
          <w:p>
            <w:pPr>
              <w:rPr>
                <w:rFonts w:ascii="宋体" w:hAnsi="宋体" w:eastAsia="宋体"/>
                <w:sz w:val="21"/>
                <w:szCs w:val="21"/>
              </w:rPr>
            </w:pPr>
            <w:r>
              <w:rPr>
                <w:rFonts w:ascii="宋体" w:hAnsi="宋体" w:eastAsia="宋体"/>
                <w:sz w:val="21"/>
                <w:szCs w:val="21"/>
              </w:rPr>
              <w:t>所在地是否属于</w:t>
            </w:r>
            <w:r>
              <w:rPr>
                <w:rFonts w:hint="eastAsia" w:ascii="宋体" w:hAnsi="宋体" w:eastAsia="宋体"/>
                <w:sz w:val="21"/>
                <w:szCs w:val="21"/>
              </w:rPr>
              <w:t>总氮控制区（7）</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1"/>
                <w:szCs w:val="21"/>
              </w:rPr>
            </w:pPr>
            <w:r>
              <w:rPr>
                <w:rFonts w:hint="eastAsia" w:ascii="宋体" w:hAnsi="宋体" w:eastAsia="宋体"/>
                <w:sz w:val="21"/>
                <w:szCs w:val="21"/>
              </w:rPr>
              <w:t>是</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所在地是否属于重金属污染特别排放限值实施区域（8）</w:t>
            </w:r>
          </w:p>
        </w:tc>
        <w:tc>
          <w:tcPr>
            <w:tcW w:w="0" w:type="auto"/>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eastAsia="宋体"/>
                <w:sz w:val="21"/>
                <w:szCs w:val="21"/>
              </w:rPr>
            </w:pPr>
            <w:r>
              <w:rPr>
                <w:rFonts w:hint="eastAsia" w:ascii="宋体" w:hAnsi="宋体" w:eastAsia="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0" w:type="auto"/>
            <w:tcBorders>
              <w:top w:val="single" w:color="auto" w:sz="4" w:space="0"/>
              <w:left w:val="single" w:color="auto" w:sz="12"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是否位于工业园区（9）</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1"/>
                <w:szCs w:val="21"/>
              </w:rPr>
            </w:pPr>
            <w:r>
              <w:rPr>
                <w:rFonts w:hint="eastAsia" w:ascii="宋体" w:hAnsi="宋体" w:eastAsia="宋体"/>
                <w:sz w:val="21"/>
                <w:szCs w:val="21"/>
              </w:rPr>
              <w:t>否</w:t>
            </w:r>
          </w:p>
        </w:tc>
        <w:tc>
          <w:tcPr>
            <w:tcW w:w="0" w:type="auto"/>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所属工业园区名称</w:t>
            </w:r>
          </w:p>
        </w:tc>
        <w:tc>
          <w:tcPr>
            <w:tcW w:w="0" w:type="auto"/>
            <w:tcBorders>
              <w:top w:val="single" w:color="auto" w:sz="4" w:space="0"/>
              <w:left w:val="single" w:color="auto" w:sz="4" w:space="0"/>
              <w:bottom w:val="single" w:color="auto" w:sz="4" w:space="0"/>
              <w:right w:val="single" w:color="auto" w:sz="12" w:space="0"/>
            </w:tcBorders>
            <w:noWrap w:val="0"/>
            <w:vAlign w:val="center"/>
          </w:tcPr>
          <w:p>
            <w:pP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0" w:type="auto"/>
            <w:noWrap w:val="0"/>
            <w:vAlign w:val="center"/>
          </w:tcPr>
          <w:p>
            <w:pPr>
              <w:rPr>
                <w:rFonts w:hint="eastAsia" w:ascii="宋体" w:hAnsi="宋体" w:eastAsia="宋体"/>
                <w:sz w:val="21"/>
                <w:szCs w:val="21"/>
              </w:rPr>
            </w:pPr>
            <w:r>
              <w:rPr>
                <w:rFonts w:ascii="宋体" w:hAnsi="宋体" w:eastAsia="宋体"/>
                <w:sz w:val="21"/>
                <w:szCs w:val="21"/>
              </w:rPr>
              <w:t>是否有环评</w:t>
            </w:r>
            <w:r>
              <w:rPr>
                <w:rFonts w:hint="eastAsia" w:ascii="宋体" w:hAnsi="宋体" w:eastAsia="宋体"/>
                <w:sz w:val="21"/>
                <w:szCs w:val="21"/>
              </w:rPr>
              <w:t>审批文件</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是</w:t>
            </w:r>
          </w:p>
        </w:tc>
        <w:tc>
          <w:tcPr>
            <w:tcW w:w="0" w:type="auto"/>
            <w:noWrap w:val="0"/>
            <w:vAlign w:val="center"/>
          </w:tcPr>
          <w:p>
            <w:pPr>
              <w:rPr>
                <w:rFonts w:hint="eastAsia" w:ascii="宋体" w:hAnsi="宋体" w:eastAsia="宋体"/>
                <w:sz w:val="21"/>
                <w:szCs w:val="21"/>
              </w:rPr>
            </w:pPr>
            <w:r>
              <w:rPr>
                <w:rFonts w:ascii="宋体" w:hAnsi="宋体" w:eastAsia="宋体"/>
                <w:sz w:val="21"/>
                <w:szCs w:val="21"/>
              </w:rPr>
              <w:t>环境影响评价</w:t>
            </w:r>
            <w:r>
              <w:rPr>
                <w:rFonts w:hint="eastAsia" w:ascii="宋体" w:hAnsi="宋体" w:eastAsia="宋体"/>
                <w:sz w:val="21"/>
                <w:szCs w:val="21"/>
              </w:rPr>
              <w:t>审批文件</w:t>
            </w:r>
            <w:r>
              <w:rPr>
                <w:rFonts w:ascii="宋体" w:hAnsi="宋体" w:eastAsia="宋体"/>
                <w:sz w:val="21"/>
                <w:szCs w:val="21"/>
              </w:rPr>
              <w:t>文号或备案编号</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p>
        </w:tc>
        <w:tc>
          <w:tcPr>
            <w:tcW w:w="0" w:type="auto"/>
            <w:noWrap w:val="0"/>
            <w:tcMar>
              <w:left w:w="0" w:type="dxa"/>
              <w:right w:w="0" w:type="dxa"/>
            </w:tcMar>
            <w:vAlign w:val="center"/>
          </w:tcPr>
          <w:tbl>
            <w:tblPr>
              <w:tblStyle w:val="3"/>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2278"/>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东环审〔2016〕15号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东环建审〔2013〕2032号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东环建审〔2005〕214号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东环建审〔2005〕201号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东环字〔2011〕194号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东环审〔2016〕16号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广审批环发〔2020〕13号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广审批环发〔2019〕7号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东环建审〔2012〕007号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鲁环审〔2008〕111号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东环建备〔2020〕10号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东环建审〔2010〕2010号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东环建审〔2005〕213号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广环建审〔2015〕192号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鲁环审〔2007〕76号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东环建审〔2006〕232号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鲁环审〔2004〕199号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东环审〔2015〕173号</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after="160" w:line="259" w:lineRule="auto"/>
                    <w:rPr>
                      <w:rFonts w:ascii="宋体" w:hAnsi="宋体" w:eastAsia="宋体"/>
                      <w:sz w:val="21"/>
                      <w:szCs w:val="21"/>
                      <w:lang w:val="en-US" w:eastAsia="zh-CN" w:bidi="ar-SA"/>
                    </w:rPr>
                  </w:pPr>
                  <w:r>
                    <w:rPr>
                      <w:rFonts w:ascii="宋体" w:hAnsi="宋体" w:eastAsia="宋体"/>
                      <w:sz w:val="21"/>
                      <w:szCs w:val="21"/>
                      <w:lang w:val="en-US" w:eastAsia="zh-CN" w:bidi="ar-SA"/>
                    </w:rPr>
                    <w:t>东环审〔2009〕20号</w:t>
                  </w:r>
                </w:p>
              </w:tc>
            </w:tr>
          </w:tbl>
          <w:p>
            <w:pPr>
              <w:rPr>
                <w:rFonts w:ascii="宋体" w:hAnsi="宋体" w:eastAsia="宋体"/>
                <w:sz w:val="21"/>
                <w:szCs w:val="21"/>
              </w:rPr>
            </w:pPr>
            <w:bookmarkStart w:id="0" w:name="HP"/>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是否有地方政府对违规项目的认定或备案文件（11）</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否</w:t>
            </w:r>
          </w:p>
        </w:tc>
        <w:tc>
          <w:tcPr>
            <w:tcW w:w="0" w:type="auto"/>
            <w:noWrap w:val="0"/>
            <w:vAlign w:val="center"/>
          </w:tcPr>
          <w:p>
            <w:pPr>
              <w:rPr>
                <w:rFonts w:ascii="宋体" w:hAnsi="宋体" w:eastAsia="宋体"/>
                <w:sz w:val="21"/>
                <w:szCs w:val="21"/>
              </w:rPr>
            </w:pPr>
            <w:r>
              <w:rPr>
                <w:rFonts w:ascii="宋体" w:hAnsi="宋体" w:eastAsia="宋体"/>
                <w:sz w:val="21"/>
                <w:szCs w:val="21"/>
              </w:rPr>
              <w:t>认定或备案文件文号</w:t>
            </w:r>
          </w:p>
        </w:tc>
        <w:tc>
          <w:tcPr>
            <w:tcW w:w="0" w:type="auto"/>
            <w:noWrap w:val="0"/>
            <w:vAlign w:val="center"/>
          </w:tcPr>
          <w:p>
            <w:pP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0" w:type="auto"/>
            <w:noWrap w:val="0"/>
            <w:vAlign w:val="center"/>
          </w:tcPr>
          <w:p>
            <w:pPr>
              <w:rPr>
                <w:rFonts w:ascii="宋体" w:hAnsi="宋体" w:eastAsia="宋体"/>
                <w:sz w:val="21"/>
                <w:szCs w:val="21"/>
              </w:rPr>
            </w:pPr>
            <w:r>
              <w:rPr>
                <w:rFonts w:hint="eastAsia" w:ascii="宋体" w:hAnsi="宋体" w:eastAsia="宋体"/>
                <w:sz w:val="21"/>
                <w:szCs w:val="21"/>
              </w:rPr>
              <w:t>是否需要改正（1</w:t>
            </w:r>
            <w:r>
              <w:rPr>
                <w:rFonts w:ascii="宋体" w:hAnsi="宋体" w:eastAsia="宋体"/>
                <w:sz w:val="21"/>
                <w:szCs w:val="21"/>
              </w:rPr>
              <w:t>2</w:t>
            </w:r>
            <w:r>
              <w:rPr>
                <w:rFonts w:hint="eastAsia" w:ascii="宋体" w:hAnsi="宋体" w:eastAsia="宋体"/>
                <w:sz w:val="21"/>
                <w:szCs w:val="21"/>
              </w:rPr>
              <w:t>）</w:t>
            </w:r>
          </w:p>
        </w:tc>
        <w:tc>
          <w:tcPr>
            <w:tcW w:w="0" w:type="auto"/>
            <w:noWrap w:val="0"/>
            <w:vAlign w:val="center"/>
          </w:tcPr>
          <w:p>
            <w:pPr>
              <w:rPr>
                <w:rFonts w:hint="eastAsia" w:ascii="宋体" w:hAnsi="宋体" w:eastAsia="宋体"/>
                <w:sz w:val="21"/>
                <w:szCs w:val="21"/>
              </w:rPr>
            </w:pPr>
            <w:r>
              <w:rPr>
                <w:rFonts w:hint="eastAsia" w:ascii="宋体" w:hAnsi="宋体" w:eastAsia="宋体"/>
                <w:sz w:val="21"/>
                <w:szCs w:val="21"/>
              </w:rPr>
              <w:t>否</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排污许可证管理类别（1</w:t>
            </w:r>
            <w:r>
              <w:rPr>
                <w:rFonts w:ascii="宋体" w:hAnsi="宋体" w:eastAsia="宋体"/>
                <w:sz w:val="21"/>
                <w:szCs w:val="21"/>
              </w:rPr>
              <w:t>3</w:t>
            </w:r>
            <w:r>
              <w:rPr>
                <w:rFonts w:hint="eastAsia" w:ascii="宋体" w:hAnsi="宋体" w:eastAsia="宋体"/>
                <w:sz w:val="21"/>
                <w:szCs w:val="21"/>
              </w:rPr>
              <w:t>）</w:t>
            </w:r>
          </w:p>
        </w:tc>
        <w:tc>
          <w:tcPr>
            <w:tcW w:w="0" w:type="auto"/>
            <w:noWrap w:val="0"/>
            <w:vAlign w:val="center"/>
          </w:tcPr>
          <w:p>
            <w:pPr>
              <w:rPr>
                <w:rFonts w:hint="eastAsia" w:ascii="宋体" w:hAnsi="宋体" w:eastAsia="宋体"/>
                <w:sz w:val="21"/>
                <w:szCs w:val="21"/>
              </w:rPr>
            </w:pPr>
            <w:r>
              <w:rPr>
                <w:rFonts w:hint="eastAsia" w:ascii="宋体" w:hAnsi="宋体" w:eastAsia="宋体"/>
                <w:sz w:val="21"/>
                <w:szCs w:val="21"/>
              </w:rPr>
              <w:t>重点管理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0" w:type="auto"/>
            <w:noWrap w:val="0"/>
            <w:vAlign w:val="center"/>
          </w:tcPr>
          <w:p>
            <w:pPr>
              <w:rPr>
                <w:rFonts w:ascii="宋体" w:hAnsi="宋体" w:eastAsia="宋体"/>
                <w:sz w:val="21"/>
                <w:szCs w:val="21"/>
              </w:rPr>
            </w:pPr>
            <w:r>
              <w:rPr>
                <w:rFonts w:ascii="宋体" w:hAnsi="宋体" w:eastAsia="宋体"/>
                <w:sz w:val="21"/>
                <w:szCs w:val="21"/>
              </w:rPr>
              <w:t>是否有主要污染物总量分配计划文件（14）</w:t>
            </w:r>
          </w:p>
        </w:tc>
        <w:tc>
          <w:tcPr>
            <w:tcW w:w="0" w:type="auto"/>
            <w:noWrap w:val="0"/>
            <w:vAlign w:val="center"/>
          </w:tcPr>
          <w:p>
            <w:pPr>
              <w:rPr>
                <w:rFonts w:ascii="宋体" w:hAnsi="宋体" w:eastAsia="宋体"/>
                <w:sz w:val="21"/>
                <w:szCs w:val="21"/>
              </w:rPr>
            </w:pPr>
            <w:r>
              <w:rPr>
                <w:rFonts w:hint="eastAsia" w:ascii="宋体" w:hAnsi="宋体" w:eastAsia="宋体"/>
                <w:sz w:val="21"/>
                <w:szCs w:val="21"/>
              </w:rPr>
              <w:t>否</w:t>
            </w:r>
          </w:p>
        </w:tc>
        <w:tc>
          <w:tcPr>
            <w:tcW w:w="0" w:type="auto"/>
            <w:noWrap w:val="0"/>
            <w:vAlign w:val="center"/>
          </w:tcPr>
          <w:p>
            <w:pPr>
              <w:rPr>
                <w:rFonts w:ascii="宋体" w:hAnsi="宋体" w:eastAsia="宋体"/>
                <w:sz w:val="21"/>
                <w:szCs w:val="21"/>
              </w:rPr>
            </w:pPr>
            <w:r>
              <w:rPr>
                <w:rFonts w:ascii="宋体" w:hAnsi="宋体" w:eastAsia="宋体"/>
                <w:sz w:val="21"/>
                <w:szCs w:val="21"/>
              </w:rPr>
              <w:t>总量分配计划文件文号</w:t>
            </w:r>
          </w:p>
        </w:tc>
        <w:tc>
          <w:tcPr>
            <w:tcW w:w="0" w:type="auto"/>
            <w:noWrap w:val="0"/>
            <w:vAlign w:val="center"/>
          </w:tcPr>
          <w:p>
            <w:pPr>
              <w:rPr>
                <w:rFonts w:ascii="宋体" w:hAnsi="宋体" w:eastAsia="宋体"/>
                <w:sz w:val="21"/>
                <w:szCs w:val="21"/>
              </w:rPr>
            </w:pPr>
          </w:p>
        </w:tc>
      </w:tr>
    </w:tbl>
    <w:p>
      <w:pPr>
        <w:adjustRightInd w:val="0"/>
        <w:snapToGrid w:val="0"/>
        <w:spacing w:line="288" w:lineRule="auto"/>
        <w:rPr>
          <w:rFonts w:ascii="宋体" w:hAnsi="宋体" w:eastAsia="宋体"/>
          <w:sz w:val="21"/>
          <w:szCs w:val="21"/>
        </w:rPr>
      </w:pPr>
      <w:r>
        <w:rPr>
          <w:rFonts w:hint="eastAsia" w:ascii="宋体" w:hAnsi="宋体" w:eastAsia="宋体"/>
          <w:sz w:val="21"/>
          <w:szCs w:val="21"/>
        </w:rPr>
        <w:t>注：（1）指生产经营场所地址所在地邮政编码。</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（2）2015年1月1日起，正在建设过程中，或者已建成但尚未投产的，选“否”；已经建成投产并产生排污行为的，选“是”。</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（3）指已投运的排污单位正式投产运行的时间，对于分期投运的排污单位，以先期投运时间为准。</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（4）、（5）指生产经营场所中心经纬度坐标，可通过排污许可管理信息平台中的GIS系统点选后自动生成经纬度。</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（6）“大气重点控制区”指生态环境部关于大气污染特别排放限值的执行范围。</w:t>
      </w:r>
    </w:p>
    <w:p>
      <w:pPr>
        <w:adjustRightInd w:val="0"/>
        <w:snapToGrid w:val="0"/>
        <w:spacing w:line="288" w:lineRule="auto"/>
        <w:ind w:firstLine="325" w:firstLineChars="155"/>
        <w:rPr>
          <w:rFonts w:ascii="宋体" w:hAnsi="宋体" w:eastAsia="宋体"/>
          <w:sz w:val="21"/>
          <w:szCs w:val="21"/>
        </w:rPr>
      </w:pPr>
      <w:r>
        <w:rPr>
          <w:rFonts w:hint="eastAsia" w:ascii="宋体" w:hAnsi="宋体" w:eastAsia="宋体"/>
          <w:sz w:val="21"/>
          <w:szCs w:val="21"/>
        </w:rPr>
        <w:t>（7）总磷、总氮控制区是指《国务院关于印发“十三五”生态环境保护规划的通知》（国发〔2016〕65号）以及生态环境部相关文件中确定的需要对总磷、总氮进行总量控制的区域。</w:t>
      </w:r>
    </w:p>
    <w:p>
      <w:pPr>
        <w:adjustRightInd w:val="0"/>
        <w:snapToGrid w:val="0"/>
        <w:spacing w:line="288" w:lineRule="auto"/>
        <w:ind w:firstLine="325" w:firstLineChars="155"/>
        <w:rPr>
          <w:rFonts w:hint="eastAsia" w:ascii="宋体" w:hAnsi="宋体" w:eastAsia="宋体"/>
          <w:sz w:val="21"/>
          <w:szCs w:val="21"/>
        </w:rPr>
      </w:pPr>
      <w:r>
        <w:rPr>
          <w:rFonts w:hint="eastAsia" w:ascii="宋体" w:hAnsi="宋体" w:eastAsia="宋体"/>
          <w:sz w:val="21"/>
          <w:szCs w:val="21"/>
        </w:rPr>
        <w:t>（8）是指各省根据《土壤污染防治行动计划》确定重金属污染排放限值的矿产资源开发活动集中的区域。</w:t>
      </w:r>
    </w:p>
    <w:p>
      <w:pPr>
        <w:adjustRightInd w:val="0"/>
        <w:snapToGrid w:val="0"/>
        <w:spacing w:line="288" w:lineRule="auto"/>
        <w:ind w:firstLine="325" w:firstLineChars="155"/>
        <w:rPr>
          <w:rFonts w:ascii="宋体" w:hAnsi="宋体" w:eastAsia="宋体"/>
          <w:sz w:val="21"/>
          <w:szCs w:val="21"/>
        </w:rPr>
      </w:pPr>
      <w:r>
        <w:rPr>
          <w:rFonts w:hint="eastAsia" w:ascii="宋体" w:hAnsi="宋体" w:eastAsia="宋体"/>
          <w:sz w:val="21"/>
          <w:szCs w:val="21"/>
        </w:rPr>
        <w:t>（9）是指各级人民政府设立的工业园区、工业集聚区等。</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（10）是指环境影响评价报告书、报告表的审批文件号，或者是环境影响评价登记表的备案编号。</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（11）对于按照《国务院关于化解产能严重过剩矛盾的指导意见》（国发〔2013〕41号）和《国务院办公厅关于加强环境监管执法的通知》（国办发〔</w:t>
      </w:r>
      <w:r>
        <w:rPr>
          <w:rFonts w:ascii="宋体" w:hAnsi="宋体" w:eastAsia="宋体"/>
          <w:sz w:val="21"/>
          <w:szCs w:val="21"/>
        </w:rPr>
        <w:t>2014</w:t>
      </w:r>
      <w:r>
        <w:rPr>
          <w:rFonts w:hint="eastAsia" w:ascii="宋体" w:hAnsi="宋体" w:eastAsia="宋体"/>
          <w:sz w:val="21"/>
          <w:szCs w:val="21"/>
        </w:rPr>
        <w:t>〕</w:t>
      </w:r>
      <w:r>
        <w:rPr>
          <w:rFonts w:ascii="宋体" w:hAnsi="宋体" w:eastAsia="宋体"/>
          <w:sz w:val="21"/>
          <w:szCs w:val="21"/>
        </w:rPr>
        <w:t>56号</w:t>
      </w:r>
      <w:r>
        <w:rPr>
          <w:rFonts w:hint="eastAsia" w:ascii="宋体" w:hAnsi="宋体" w:eastAsia="宋体"/>
          <w:sz w:val="21"/>
          <w:szCs w:val="21"/>
        </w:rPr>
        <w:t>）要求，经地方政府依法处理、整顿规范并符合要求的项目，须列出证明符合要求的相关文件名和文号。</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（12）指首次申请排污许可证时，存在未批先建或不具备达标排放能力的，且受到生态环境部门处罚的排污单位，应选择“是”，其他选“否”。</w:t>
      </w:r>
    </w:p>
    <w:p>
      <w:pPr>
        <w:adjustRightInd w:val="0"/>
        <w:snapToGrid w:val="0"/>
        <w:spacing w:line="288" w:lineRule="auto"/>
        <w:ind w:firstLine="315" w:firstLineChars="150"/>
        <w:rPr>
          <w:rFonts w:ascii="宋体" w:hAnsi="宋体" w:eastAsia="宋体"/>
          <w:sz w:val="21"/>
          <w:szCs w:val="21"/>
        </w:rPr>
      </w:pPr>
      <w:r>
        <w:rPr>
          <w:rFonts w:hint="eastAsia" w:ascii="宋体" w:hAnsi="宋体" w:eastAsia="宋体"/>
          <w:sz w:val="21"/>
          <w:szCs w:val="21"/>
        </w:rPr>
        <w:t>（13）排污单位属于《固定污染源排污许可分类管理名录》中排污许可重点管理的，应选择“重点”，简化管理的选择“简化”。</w:t>
      </w:r>
    </w:p>
    <w:p>
      <w:pPr>
        <w:adjustRightInd w:val="0"/>
        <w:snapToGrid w:val="0"/>
        <w:spacing w:line="288" w:lineRule="auto"/>
        <w:ind w:firstLine="315" w:firstLineChars="150"/>
        <w:rPr>
          <w:rFonts w:hint="eastAsia" w:ascii="宋体" w:hAnsi="宋体" w:eastAsia="宋体"/>
          <w:sz w:val="21"/>
          <w:szCs w:val="21"/>
        </w:rPr>
      </w:pPr>
      <w:r>
        <w:rPr>
          <w:rFonts w:hint="eastAsia" w:ascii="宋体" w:hAnsi="宋体" w:eastAsia="宋体"/>
          <w:sz w:val="21"/>
          <w:szCs w:val="21"/>
        </w:rPr>
        <w:t>（14）对于有主要污染物总量控制指标计划的排污单位，须列出相关文件文号（或者其他能够证明排污单位污染物排放总量控制指标的文件和法律文书），并列出上一年主要污染物总量指标；对于总量指标中包括自备电厂的排污单位，应当在</w:t>
      </w:r>
      <w:r>
        <w:rPr>
          <w:rFonts w:ascii="宋体" w:hAnsi="宋体" w:eastAsia="宋体"/>
          <w:sz w:val="21"/>
          <w:szCs w:val="21"/>
        </w:rPr>
        <w:t>备注栏</w:t>
      </w:r>
      <w:r>
        <w:rPr>
          <w:rFonts w:hint="eastAsia" w:ascii="宋体" w:hAnsi="宋体" w:eastAsia="宋体"/>
          <w:sz w:val="21"/>
          <w:szCs w:val="21"/>
        </w:rPr>
        <w:t>对自备电厂进行单独说明。</w:t>
      </w:r>
    </w:p>
    <w:p>
      <w:pPr>
        <w:adjustRightInd w:val="0"/>
        <w:snapToGrid w:val="0"/>
        <w:spacing w:line="288" w:lineRule="auto"/>
        <w:ind w:firstLine="315" w:firstLineChars="150"/>
        <w:rPr>
          <w:rFonts w:ascii="仿宋_GB2312" w:hAnsi="Times New Roman" w:eastAsia="仿宋_GB231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90"/>
        </w:tabs>
        <w:bidi w:val="0"/>
        <w:jc w:val="left"/>
        <w:rPr>
          <w:rFonts w:hint="default"/>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lang w:val="en-US" w:eastAsia="zh-CN"/>
        </w:rPr>
        <w:tab/>
      </w:r>
      <w:r>
        <w:rPr>
          <w:rFonts w:hint="eastAsia"/>
          <w:sz w:val="28"/>
          <w:szCs w:val="28"/>
          <w:lang w:val="en-US" w:eastAsia="zh-CN"/>
        </w:rPr>
        <w:t>二、监测点位示意图：</w:t>
      </w:r>
      <w:r>
        <w:rPr>
          <w:rFonts w:hint="default"/>
          <w:sz w:val="28"/>
          <w:szCs w:val="28"/>
          <w:lang w:val="en-US" w:eastAsia="zh-CN"/>
        </w:rPr>
        <w:drawing>
          <wp:inline distT="0" distB="0" distL="114300" distR="114300">
            <wp:extent cx="5423535" cy="7070725"/>
            <wp:effectExtent l="0" t="0" r="5715" b="15875"/>
            <wp:docPr id="1" name="图片 1" descr="580b2a7039b5a9cf6a5d6602f9d63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80b2a7039b5a9cf6a5d6602f9d6309c"/>
                    <pic:cNvPicPr>
                      <a:picLocks noChangeAspect="1"/>
                    </pic:cNvPicPr>
                  </pic:nvPicPr>
                  <pic:blipFill>
                    <a:blip r:embed="rId5"/>
                    <a:stretch>
                      <a:fillRect/>
                    </a:stretch>
                  </pic:blipFill>
                  <pic:spPr>
                    <a:xfrm>
                      <a:off x="0" y="0"/>
                      <a:ext cx="5423535" cy="7070725"/>
                    </a:xfrm>
                    <a:prstGeom prst="rect">
                      <a:avLst/>
                    </a:prstGeom>
                  </pic:spPr>
                </pic:pic>
              </a:graphicData>
            </a:graphic>
          </wp:inline>
        </w:drawing>
      </w:r>
    </w:p>
    <w:p>
      <w:pPr>
        <w:numPr>
          <w:numId w:val="0"/>
        </w:numPr>
        <w:jc w:val="left"/>
        <w:rPr>
          <w:rFonts w:hint="eastAsia"/>
          <w:sz w:val="28"/>
          <w:szCs w:val="28"/>
          <w:lang w:val="en-US" w:eastAsia="zh-CN"/>
        </w:rPr>
      </w:pPr>
      <w:r>
        <w:rPr>
          <w:rFonts w:hint="eastAsia"/>
          <w:sz w:val="28"/>
          <w:szCs w:val="28"/>
          <w:lang w:val="en-US" w:eastAsia="zh-CN"/>
        </w:rPr>
        <w:t>三、排放浓度限值：</w:t>
      </w:r>
    </w:p>
    <w:tbl>
      <w:tblPr>
        <w:tblStyle w:val="3"/>
        <w:tblW w:w="1446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34"/>
        <w:gridCol w:w="987"/>
        <w:gridCol w:w="988"/>
        <w:gridCol w:w="988"/>
        <w:gridCol w:w="1417"/>
        <w:gridCol w:w="1276"/>
        <w:gridCol w:w="1024"/>
        <w:gridCol w:w="1024"/>
        <w:gridCol w:w="1025"/>
        <w:gridCol w:w="1024"/>
        <w:gridCol w:w="1025"/>
        <w:gridCol w:w="1560"/>
        <w:gridCol w:w="15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0" w:hRule="atLeast"/>
          <w:tblHeader/>
          <w:jc w:val="center"/>
        </w:trPr>
        <w:tc>
          <w:tcPr>
            <w:tcW w:w="534" w:type="dxa"/>
            <w:vMerge w:val="restart"/>
            <w:noWrap/>
            <w:vAlign w:val="center"/>
          </w:tcPr>
          <w:p>
            <w:pPr>
              <w:pStyle w:val="7"/>
              <w:adjustRightInd w:val="0"/>
              <w:snapToGrid w:val="0"/>
              <w:jc w:val="center"/>
              <w:rPr>
                <w:rStyle w:val="4"/>
                <w:rFonts w:ascii="黑体" w:hAnsi="黑体" w:eastAsia="黑体" w:cs="Times New Roman"/>
              </w:rPr>
            </w:pPr>
            <w:r>
              <w:rPr>
                <w:rStyle w:val="4"/>
                <w:rFonts w:ascii="黑体" w:hAnsi="黑体" w:eastAsia="黑体" w:cs="Times New Roman"/>
              </w:rPr>
              <w:t>序号</w:t>
            </w:r>
          </w:p>
        </w:tc>
        <w:tc>
          <w:tcPr>
            <w:tcW w:w="987" w:type="dxa"/>
            <w:vMerge w:val="restart"/>
            <w:noWrap/>
            <w:vAlign w:val="center"/>
          </w:tcPr>
          <w:p>
            <w:pPr>
              <w:pStyle w:val="7"/>
              <w:adjustRightInd w:val="0"/>
              <w:snapToGrid w:val="0"/>
              <w:jc w:val="center"/>
              <w:rPr>
                <w:rStyle w:val="4"/>
                <w:rFonts w:ascii="黑体" w:hAnsi="黑体" w:eastAsia="黑体" w:cs="Times New Roman"/>
              </w:rPr>
            </w:pPr>
            <w:r>
              <w:rPr>
                <w:rStyle w:val="4"/>
                <w:rFonts w:ascii="黑体" w:hAnsi="黑体" w:eastAsia="黑体" w:cs="Times New Roman"/>
              </w:rPr>
              <w:t>排放口编号</w:t>
            </w:r>
          </w:p>
        </w:tc>
        <w:tc>
          <w:tcPr>
            <w:tcW w:w="988" w:type="dxa"/>
            <w:vMerge w:val="restart"/>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排放口名称</w:t>
            </w:r>
          </w:p>
        </w:tc>
        <w:tc>
          <w:tcPr>
            <w:tcW w:w="988" w:type="dxa"/>
            <w:vMerge w:val="restart"/>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污染物种类</w:t>
            </w:r>
          </w:p>
        </w:tc>
        <w:tc>
          <w:tcPr>
            <w:tcW w:w="1417" w:type="dxa"/>
            <w:vMerge w:val="restart"/>
            <w:noWrap/>
            <w:vAlign w:val="center"/>
          </w:tcPr>
          <w:p>
            <w:pPr>
              <w:pStyle w:val="7"/>
              <w:adjustRightInd w:val="0"/>
              <w:snapToGrid w:val="0"/>
              <w:jc w:val="center"/>
              <w:rPr>
                <w:rStyle w:val="4"/>
                <w:rFonts w:ascii="黑体" w:hAnsi="黑体" w:eastAsia="黑体" w:cs="Times New Roman"/>
              </w:rPr>
            </w:pPr>
            <w:r>
              <w:rPr>
                <w:rStyle w:val="4"/>
                <w:rFonts w:ascii="黑体" w:hAnsi="黑体" w:eastAsia="黑体" w:cs="Times New Roman"/>
              </w:rPr>
              <w:t>申请许可排放浓度限值</w:t>
            </w:r>
          </w:p>
        </w:tc>
        <w:tc>
          <w:tcPr>
            <w:tcW w:w="1276" w:type="dxa"/>
            <w:vMerge w:val="restart"/>
            <w:noWrap/>
            <w:vAlign w:val="center"/>
          </w:tcPr>
          <w:p>
            <w:pPr>
              <w:pStyle w:val="7"/>
              <w:adjustRightInd w:val="0"/>
              <w:snapToGrid w:val="0"/>
              <w:jc w:val="center"/>
              <w:rPr>
                <w:rStyle w:val="4"/>
                <w:rFonts w:hint="eastAsia" w:ascii="黑体" w:hAnsi="黑体" w:eastAsia="黑体" w:cs="Times New Roman"/>
              </w:rPr>
            </w:pPr>
            <w:r>
              <w:rPr>
                <w:rStyle w:val="4"/>
                <w:rFonts w:hint="eastAsia" w:ascii="黑体" w:hAnsi="黑体" w:eastAsia="黑体" w:cs="Times New Roman"/>
              </w:rPr>
              <w:t>申请许可排放速率限值</w:t>
            </w:r>
          </w:p>
          <w:p>
            <w:pPr>
              <w:pStyle w:val="7"/>
              <w:adjustRightInd w:val="0"/>
              <w:snapToGrid w:val="0"/>
              <w:jc w:val="center"/>
              <w:rPr>
                <w:rStyle w:val="4"/>
                <w:rFonts w:ascii="黑体" w:hAnsi="黑体" w:eastAsia="黑体" w:cs="Times New Roman"/>
              </w:rPr>
            </w:pPr>
            <w:r>
              <w:rPr>
                <w:rStyle w:val="4"/>
                <w:rFonts w:ascii="黑体" w:hAnsi="黑体" w:eastAsia="黑体" w:cs="Times New Roman"/>
              </w:rPr>
              <w:t>(</w:t>
            </w:r>
            <w:r>
              <w:rPr>
                <w:rStyle w:val="4"/>
                <w:rFonts w:hint="eastAsia" w:ascii="黑体" w:hAnsi="黑体" w:eastAsia="黑体" w:cs="Times New Roman"/>
              </w:rPr>
              <w:t>kg</w:t>
            </w:r>
            <w:r>
              <w:rPr>
                <w:rStyle w:val="4"/>
                <w:rFonts w:ascii="黑体" w:hAnsi="黑体" w:eastAsia="黑体" w:cs="Times New Roman"/>
              </w:rPr>
              <w:t>/</w:t>
            </w:r>
            <w:r>
              <w:rPr>
                <w:rStyle w:val="4"/>
                <w:rFonts w:hint="eastAsia" w:ascii="黑体" w:hAnsi="黑体" w:eastAsia="黑体" w:cs="Times New Roman"/>
              </w:rPr>
              <w:t>h</w:t>
            </w:r>
            <w:r>
              <w:rPr>
                <w:rStyle w:val="4"/>
                <w:rFonts w:ascii="黑体" w:hAnsi="黑体" w:eastAsia="黑体" w:cs="Times New Roman"/>
              </w:rPr>
              <w:t>)</w:t>
            </w:r>
          </w:p>
        </w:tc>
        <w:tc>
          <w:tcPr>
            <w:tcW w:w="5122" w:type="dxa"/>
            <w:gridSpan w:val="5"/>
            <w:noWrap/>
            <w:vAlign w:val="center"/>
          </w:tcPr>
          <w:p>
            <w:pPr>
              <w:pStyle w:val="7"/>
              <w:adjustRightInd w:val="0"/>
              <w:snapToGrid w:val="0"/>
              <w:jc w:val="center"/>
              <w:rPr>
                <w:rStyle w:val="4"/>
                <w:rFonts w:ascii="黑体" w:hAnsi="黑体" w:eastAsia="黑体" w:cs="Times New Roman"/>
              </w:rPr>
            </w:pPr>
            <w:r>
              <w:rPr>
                <w:rStyle w:val="4"/>
                <w:rFonts w:ascii="黑体" w:hAnsi="黑体" w:eastAsia="黑体" w:cs="Times New Roman"/>
              </w:rPr>
              <w:t>申请年许可排放量限值（t/a）</w:t>
            </w:r>
          </w:p>
        </w:tc>
        <w:tc>
          <w:tcPr>
            <w:tcW w:w="1560" w:type="dxa"/>
            <w:vMerge w:val="restart"/>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申请特殊排放浓度限值</w:t>
            </w:r>
          </w:p>
          <w:p>
            <w:pPr>
              <w:pStyle w:val="7"/>
              <w:adjustRightInd w:val="0"/>
              <w:snapToGrid w:val="0"/>
              <w:jc w:val="center"/>
              <w:rPr>
                <w:rStyle w:val="4"/>
                <w:rFonts w:hint="eastAsia" w:ascii="黑体" w:hAnsi="黑体" w:eastAsia="黑体" w:cs="Times New Roman"/>
              </w:rPr>
            </w:pPr>
            <w:r>
              <w:rPr>
                <w:rStyle w:val="4"/>
                <w:rFonts w:hint="eastAsia" w:ascii="黑体" w:hAnsi="黑体" w:eastAsia="黑体" w:cs="Times New Roman"/>
              </w:rPr>
              <w:t>（1）</w:t>
            </w:r>
          </w:p>
        </w:tc>
        <w:tc>
          <w:tcPr>
            <w:tcW w:w="1596" w:type="dxa"/>
            <w:vMerge w:val="restart"/>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申请特殊时段</w:t>
            </w:r>
            <w:r>
              <w:rPr>
                <w:rStyle w:val="4"/>
                <w:rFonts w:ascii="黑体" w:hAnsi="黑体" w:eastAsia="黑体" w:cs="Times New Roman"/>
              </w:rPr>
              <w:t>许可</w:t>
            </w:r>
            <w:r>
              <w:rPr>
                <w:rStyle w:val="4"/>
                <w:rFonts w:hint="eastAsia" w:ascii="黑体" w:hAnsi="黑体" w:eastAsia="黑体" w:cs="Times New Roman"/>
              </w:rPr>
              <w:t>排放量限值</w:t>
            </w:r>
          </w:p>
          <w:p>
            <w:pPr>
              <w:pStyle w:val="7"/>
              <w:adjustRightInd w:val="0"/>
              <w:snapToGrid w:val="0"/>
              <w:jc w:val="center"/>
              <w:rPr>
                <w:rStyle w:val="4"/>
                <w:rFonts w:hint="eastAsia" w:ascii="黑体" w:hAnsi="黑体" w:eastAsia="黑体" w:cs="Times New Roman"/>
              </w:rPr>
            </w:pPr>
            <w:r>
              <w:rPr>
                <w:rStyle w:val="4"/>
                <w:rFonts w:hint="eastAsia" w:ascii="黑体" w:hAnsi="黑体" w:eastAsia="黑体" w:cs="Times New Roman"/>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8" w:hRule="atLeast"/>
          <w:tblHeader/>
          <w:jc w:val="center"/>
        </w:trPr>
        <w:tc>
          <w:tcPr>
            <w:tcW w:w="534"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987"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988"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988"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1417"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1276" w:type="dxa"/>
            <w:vMerge w:val="continue"/>
            <w:noWrap/>
            <w:vAlign w:val="center"/>
          </w:tcPr>
          <w:p>
            <w:pPr>
              <w:pStyle w:val="7"/>
              <w:adjustRightInd w:val="0"/>
              <w:snapToGrid w:val="0"/>
              <w:jc w:val="center"/>
              <w:rPr>
                <w:rStyle w:val="4"/>
                <w:rFonts w:ascii="Times New Roman" w:hAnsi="Times New Roman" w:eastAsia="仿宋_GB2312" w:cs="Times New Roman"/>
                <w:sz w:val="24"/>
              </w:rPr>
            </w:pPr>
          </w:p>
        </w:tc>
        <w:tc>
          <w:tcPr>
            <w:tcW w:w="1024" w:type="dxa"/>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第一年</w:t>
            </w:r>
          </w:p>
        </w:tc>
        <w:tc>
          <w:tcPr>
            <w:tcW w:w="1024" w:type="dxa"/>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第二年</w:t>
            </w:r>
          </w:p>
        </w:tc>
        <w:tc>
          <w:tcPr>
            <w:tcW w:w="1025" w:type="dxa"/>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第三年</w:t>
            </w:r>
          </w:p>
        </w:tc>
        <w:tc>
          <w:tcPr>
            <w:tcW w:w="1024" w:type="dxa"/>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第四年</w:t>
            </w:r>
          </w:p>
        </w:tc>
        <w:tc>
          <w:tcPr>
            <w:tcW w:w="1025" w:type="dxa"/>
            <w:noWrap/>
            <w:vAlign w:val="center"/>
          </w:tcPr>
          <w:p>
            <w:pPr>
              <w:pStyle w:val="7"/>
              <w:adjustRightInd w:val="0"/>
              <w:snapToGrid w:val="0"/>
              <w:jc w:val="center"/>
              <w:rPr>
                <w:rStyle w:val="4"/>
                <w:rFonts w:ascii="黑体" w:hAnsi="黑体" w:eastAsia="黑体" w:cs="Times New Roman"/>
              </w:rPr>
            </w:pPr>
            <w:r>
              <w:rPr>
                <w:rStyle w:val="4"/>
                <w:rFonts w:hint="eastAsia" w:ascii="黑体" w:hAnsi="黑体" w:eastAsia="黑体" w:cs="Times New Roman"/>
              </w:rPr>
              <w:t>第五年</w:t>
            </w:r>
          </w:p>
        </w:tc>
        <w:tc>
          <w:tcPr>
            <w:tcW w:w="1560" w:type="dxa"/>
            <w:vMerge w:val="continue"/>
            <w:noWrap/>
            <w:vAlign w:val="center"/>
          </w:tcPr>
          <w:p>
            <w:pPr>
              <w:pStyle w:val="7"/>
              <w:adjustRightInd w:val="0"/>
              <w:snapToGrid w:val="0"/>
              <w:jc w:val="center"/>
              <w:rPr>
                <w:rStyle w:val="4"/>
                <w:rFonts w:hint="eastAsia" w:ascii="Times New Roman" w:hAnsi="Times New Roman" w:eastAsia="仿宋_GB2312" w:cs="Times New Roman"/>
                <w:sz w:val="24"/>
              </w:rPr>
            </w:pPr>
          </w:p>
        </w:tc>
        <w:tc>
          <w:tcPr>
            <w:tcW w:w="1596" w:type="dxa"/>
            <w:vMerge w:val="continue"/>
            <w:noWrap/>
            <w:vAlign w:val="center"/>
          </w:tcPr>
          <w:p>
            <w:pPr>
              <w:pStyle w:val="7"/>
              <w:adjustRightInd w:val="0"/>
              <w:snapToGrid w:val="0"/>
              <w:jc w:val="center"/>
              <w:rPr>
                <w:rStyle w:val="4"/>
                <w:rFonts w:hint="eastAsia"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468" w:type="dxa"/>
            <w:gridSpan w:val="13"/>
            <w:noWrap/>
            <w:vAlign w:val="center"/>
          </w:tcPr>
          <w:p>
            <w:pPr>
              <w:pStyle w:val="7"/>
              <w:adjustRightInd w:val="0"/>
              <w:snapToGrid w:val="0"/>
              <w:jc w:val="center"/>
              <w:rPr>
                <w:rStyle w:val="4"/>
                <w:rFonts w:hint="eastAsia" w:ascii="宋体" w:hAnsi="宋体" w:eastAsia="宋体" w:cs="Times New Roman"/>
                <w:b/>
              </w:rPr>
            </w:pPr>
            <w:r>
              <w:rPr>
                <w:rStyle w:val="4"/>
                <w:rFonts w:ascii="宋体" w:hAnsi="宋体" w:eastAsia="宋体" w:cs="Times New Roman"/>
                <w:b/>
              </w:rPr>
              <w:t>主要</w:t>
            </w:r>
            <w:r>
              <w:rPr>
                <w:rStyle w:val="4"/>
                <w:rFonts w:hint="eastAsia" w:ascii="宋体" w:hAnsi="宋体" w:eastAsia="宋体" w:cs="Times New Roman"/>
                <w:b/>
              </w:rPr>
              <w:t>排放口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468" w:type="dxa"/>
            <w:gridSpan w:val="13"/>
            <w:noWrap/>
            <w:vAlign w:val="center"/>
          </w:tcPr>
          <w:tbl>
            <w:tblPr>
              <w:tblStyle w:val="3"/>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33"/>
              <w:gridCol w:w="976"/>
              <w:gridCol w:w="976"/>
              <w:gridCol w:w="976"/>
              <w:gridCol w:w="1414"/>
              <w:gridCol w:w="1313"/>
              <w:gridCol w:w="1032"/>
              <w:gridCol w:w="1021"/>
              <w:gridCol w:w="1021"/>
              <w:gridCol w:w="1021"/>
              <w:gridCol w:w="1032"/>
              <w:gridCol w:w="1560"/>
              <w:gridCol w:w="1560"/>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重交沥青装置加热炉排气筒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重交沥青装置加热炉排气筒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重交沥青装置加热炉排气筒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重交沥青装置加热炉排气筒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344.032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344.032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172.016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172.016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镍及其化合物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0.5mg/Nm3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34.403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34.403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FCC催化裂化再生烟气排气筒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硫化氢</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FCC催化裂化再生烟气排气筒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镍及其化合物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0.5mg/Nm3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FCC催化裂化再生烟气排气筒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FCC催化裂化再生烟气排气筒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353.552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FCC催化裂化再生烟气排气筒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176.776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176.776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176.776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延迟焦化装置加热炉排气筒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43.369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43.369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31.441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31.441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31.441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延迟焦化装置加热炉排气筒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8.674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8.674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延迟焦化装置加热炉排气筒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26.021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26.021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39.715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39.715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39.715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延迟焦化装置加热炉排气筒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65.053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65.053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62.882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催化汽油加氢装置一段加氢加热炉排气筒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催化汽油加氢装置一段加氢加热炉排气筒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催化汽油加氢装置一段加氢加热炉排气筒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催化汽油加氢装置二段加氢加热炉排气筒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催化汽油加氢装置二段加氢加热炉排气筒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催化汽油加氢装置二段加氢加热炉排气筒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柴油加氢改质装置加热炉排气筒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7.027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7.027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3.338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3.338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3.338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柴油加氢改质装置加热炉排气筒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柴油加氢改质装置加热炉排气筒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柴油加氢改质装置加热炉排气筒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21.08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焦化汽柴油加氢装置分馏塔底重沸炉排气筒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7.132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7.132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9.456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9.456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9.456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焦化汽柴油加氢装置分馏塔底重沸炉排气筒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4.754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4.754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4.728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4.728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4.728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焦化汽柴油加氢装置分馏塔底重沸炉排气筒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0.951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0.951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焦化汽柴油加氢装置加氢进料加热炉排气筒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4.554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4.554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5.226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5.226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5.226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焦化汽柴油加氢装置加氢进料加热炉排气筒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0.911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DA009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焦化汽柴油加氢装置加氢进料加热炉排气筒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6.832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6.832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10.452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连续重整装置四合一加热炉排气筒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氯化氢</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连续重整装置四合一加热炉排气筒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连续重整装置四合一加热炉排气筒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48.9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48.9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连续重整装置四合一加热炉排气筒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连续重整装置四合一加热炉排气筒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8.503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8.503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8.503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芳烃抽提装置加热炉排气筒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芳烃抽提装置加热炉排气筒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6.983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6.983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芳烃抽提装置加热炉排气筒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催化汽油加氢切重塔重沸炉排气筒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8.69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8.69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8.258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8.258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8.258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催化汽油加氢切重塔重沸炉排气筒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1.739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1.739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催化汽油加氢切重塔重沸炉排气筒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0.272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0.272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0.129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非临氢改质装置再生加热炉排气筒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0.027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0.027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非临氢改质装置再生加热炉排气筒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0.303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0.303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0.303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非临氢改质装置再生加热炉排气筒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0.825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催化干气制乙苯苯乙烯联合装置循环苯加热炉排气筒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8.056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8.056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4.530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4.530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4.530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催化干气制乙苯苯乙烯联合装置循环苯加热炉排气筒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2.265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2.265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2.265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催化干气制乙苯苯乙烯联合装置循环苯加热炉排气筒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1.074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1.074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0.453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0.453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0.453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催化干气制乙苯苯乙烯联合装置乙苯脱氢加热炉排气筒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13.017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5.953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5.953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5.953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催化干气制乙苯苯乙烯联合装置乙苯脱氢加热炉排气筒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2.603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2.603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催化干气制乙苯苯乙烯联合装置乙苯脱氢加热炉排气筒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19.525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19.525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11.905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导热油炉排气筒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2.941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导热油炉排气筒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导热油炉排气筒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林格曼黑度</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1级</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导热油炉排气筒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制氢装置转化炉排气筒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45.6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32.335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32.335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32.335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制氢装置转化炉排气筒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6.08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3.234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DA018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制氢装置转化炉排气筒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30.4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16.168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16.168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16.168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锅炉废气排放口</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二氧化硫</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35mg/Nm3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29.19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27.73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27.73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27.73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锅炉废气排放口</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烟气黑度</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锅炉废气排放口</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颗粒物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3.959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锅炉废气排放口</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氮氧化物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41.7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39.616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39.616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39.616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锅炉废气排放口</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汞及其化合物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0.03mg/Nm3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69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苯系物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氨（氨气）</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20mg/Nm3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酚类</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0.07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100mg/Nm3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5.0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3.2</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42.048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42.048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42.048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臭气浓度</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800</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苯</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4mg/Nm3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污水处理站排气筒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硫化氢</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3.0mg/Nm3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76</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DA024</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芳烃罐区油气回收排气筒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77</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苯乙烯罐区油气回收排气筒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0.125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0.219</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78</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DA035</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五千方两千方罐区油气回收排气筒</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挥发性有机物</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/mg/Nm3</w:t>
                  </w:r>
                </w:p>
              </w:tc>
              <w:tc>
                <w:tcPr>
                  <w:tcW w:w="0" w:type="auto"/>
                  <w:noWrap w:val="0"/>
                  <w:vAlign w:val="center"/>
                </w:tcPr>
                <w:p>
                  <w:pPr>
                    <w:pStyle w:val="7"/>
                    <w:widowControl w:val="0"/>
                    <w:jc w:val="center"/>
                    <w:rPr>
                      <w:rStyle w:val="4"/>
                      <w:rFonts w:hint="eastAsia" w:ascii="宋体" w:hAnsi="宋体" w:eastAsia="宋体" w:cs="Times New Roman"/>
                      <w:kern w:val="2"/>
                      <w:sz w:val="21"/>
                      <w:lang w:val="en-US" w:eastAsia="zh-CN" w:bidi="ar-SA"/>
                    </w:rPr>
                  </w:pPr>
                  <w:r>
                    <w:rPr>
                      <w:rStyle w:val="4"/>
                      <w:rFonts w:hint="eastAsia" w:ascii="宋体" w:hAnsi="宋体" w:eastAsia="宋体" w:cs="Times New Roman"/>
                      <w:kern w:val="2"/>
                      <w:sz w:val="21"/>
                      <w:lang w:val="en-US" w:eastAsia="zh-CN" w:bidi="ar-SA"/>
                    </w:rPr>
                    <w:t>/</w:t>
                  </w:r>
                </w:p>
              </w:tc>
            </w:tr>
          </w:tbl>
          <w:p>
            <w:pPr>
              <w:pStyle w:val="7"/>
              <w:jc w:val="center"/>
              <w:rPr>
                <w:rStyle w:val="4"/>
                <w:rFonts w:hint="eastAsia" w:ascii="宋体" w:hAnsi="宋体" w:eastAsia="宋体" w:cs="Times New Roman"/>
              </w:rPr>
            </w:pPr>
            <w:bookmarkStart w:id="1" w:name="BIAO8ZYPFK"/>
            <w:bookmarkEnd w:id="1"/>
          </w:p>
        </w:tc>
      </w:tr>
    </w:tbl>
    <w:p>
      <w:pPr>
        <w:numPr>
          <w:numId w:val="0"/>
        </w:numPr>
        <w:ind w:leftChars="0"/>
        <w:jc w:val="left"/>
        <w:rPr>
          <w:rFonts w:hint="eastAsia"/>
          <w:sz w:val="28"/>
          <w:szCs w:val="28"/>
          <w:lang w:val="en-US" w:eastAsia="zh-CN"/>
        </w:rPr>
      </w:pPr>
    </w:p>
    <w:p>
      <w:pPr>
        <w:numPr>
          <w:numId w:val="0"/>
        </w:numPr>
        <w:ind w:leftChars="0"/>
        <w:jc w:val="left"/>
        <w:rPr>
          <w:rFonts w:hint="eastAsia"/>
          <w:sz w:val="28"/>
          <w:szCs w:val="28"/>
          <w:lang w:val="en-US" w:eastAsia="zh-CN"/>
        </w:rPr>
      </w:pPr>
    </w:p>
    <w:p>
      <w:pPr>
        <w:numPr>
          <w:numId w:val="0"/>
        </w:numPr>
        <w:ind w:leftChars="0"/>
        <w:jc w:val="left"/>
        <w:rPr>
          <w:rFonts w:hint="eastAsia"/>
          <w:sz w:val="28"/>
          <w:szCs w:val="28"/>
          <w:lang w:val="en-US" w:eastAsia="zh-CN"/>
        </w:rPr>
      </w:pPr>
    </w:p>
    <w:p>
      <w:pPr>
        <w:numPr>
          <w:numId w:val="0"/>
        </w:numPr>
        <w:ind w:leftChars="0"/>
        <w:jc w:val="left"/>
        <w:rPr>
          <w:rFonts w:hint="eastAsia"/>
          <w:sz w:val="28"/>
          <w:szCs w:val="28"/>
          <w:lang w:val="en-US" w:eastAsia="zh-CN"/>
        </w:rPr>
      </w:pPr>
    </w:p>
    <w:p>
      <w:pPr>
        <w:numPr>
          <w:numId w:val="0"/>
        </w:numPr>
        <w:ind w:leftChars="0"/>
        <w:jc w:val="left"/>
        <w:rPr>
          <w:rFonts w:hint="eastAsia"/>
          <w:sz w:val="28"/>
          <w:szCs w:val="28"/>
          <w:lang w:val="en-US" w:eastAsia="zh-CN"/>
        </w:rPr>
      </w:pPr>
    </w:p>
    <w:p>
      <w:pPr>
        <w:numPr>
          <w:numId w:val="0"/>
        </w:numPr>
        <w:ind w:leftChars="0"/>
        <w:jc w:val="left"/>
        <w:rPr>
          <w:rFonts w:hint="eastAsia"/>
          <w:sz w:val="28"/>
          <w:szCs w:val="28"/>
          <w:lang w:val="en-US" w:eastAsia="zh-CN"/>
        </w:rPr>
      </w:pPr>
      <w:r>
        <w:rPr>
          <w:rFonts w:hint="eastAsia"/>
          <w:sz w:val="28"/>
          <w:szCs w:val="28"/>
          <w:lang w:val="en-US" w:eastAsia="zh-CN"/>
        </w:rPr>
        <w:t>四、自行检验计划：</w:t>
      </w:r>
    </w:p>
    <w:p>
      <w:pPr>
        <w:widowControl/>
        <w:jc w:val="center"/>
        <w:textAlignment w:val="center"/>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周和月度检测内容</w:t>
      </w:r>
    </w:p>
    <w:tbl>
      <w:tblPr>
        <w:tblStyle w:val="3"/>
        <w:tblW w:w="4988" w:type="pct"/>
        <w:tblInd w:w="0" w:type="dxa"/>
        <w:tblLayout w:type="autofit"/>
        <w:tblCellMar>
          <w:top w:w="0" w:type="dxa"/>
          <w:left w:w="108" w:type="dxa"/>
          <w:bottom w:w="0" w:type="dxa"/>
          <w:right w:w="108" w:type="dxa"/>
        </w:tblCellMar>
      </w:tblPr>
      <w:tblGrid>
        <w:gridCol w:w="1245"/>
        <w:gridCol w:w="1768"/>
        <w:gridCol w:w="2056"/>
        <w:gridCol w:w="1581"/>
        <w:gridCol w:w="1403"/>
        <w:gridCol w:w="1247"/>
        <w:gridCol w:w="2345"/>
        <w:gridCol w:w="1247"/>
        <w:gridCol w:w="1248"/>
      </w:tblGrid>
      <w:tr>
        <w:tblPrEx>
          <w:tblCellMar>
            <w:top w:w="0" w:type="dxa"/>
            <w:left w:w="108" w:type="dxa"/>
            <w:bottom w:w="0" w:type="dxa"/>
            <w:right w:w="108" w:type="dxa"/>
          </w:tblCellMar>
        </w:tblPrEx>
        <w:trPr>
          <w:trHeight w:val="1155" w:hRule="atLeast"/>
        </w:trPr>
        <w:tc>
          <w:tcPr>
            <w:tcW w:w="440" w:type="pct"/>
            <w:tcBorders>
              <w:top w:val="single" w:color="000000" w:sz="8" w:space="0"/>
              <w:left w:val="single" w:color="000000" w:sz="8" w:space="0"/>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污染源类别</w:t>
            </w:r>
          </w:p>
        </w:tc>
        <w:tc>
          <w:tcPr>
            <w:tcW w:w="625"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排放口编号</w:t>
            </w:r>
          </w:p>
        </w:tc>
        <w:tc>
          <w:tcPr>
            <w:tcW w:w="727"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排放口名称</w:t>
            </w:r>
          </w:p>
        </w:tc>
        <w:tc>
          <w:tcPr>
            <w:tcW w:w="559"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监测内容</w:t>
            </w:r>
          </w:p>
        </w:tc>
        <w:tc>
          <w:tcPr>
            <w:tcW w:w="496"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污染物名称</w:t>
            </w:r>
          </w:p>
        </w:tc>
        <w:tc>
          <w:tcPr>
            <w:tcW w:w="441"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监测设施</w:t>
            </w:r>
          </w:p>
        </w:tc>
        <w:tc>
          <w:tcPr>
            <w:tcW w:w="829"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手工监测采样方法及个数</w:t>
            </w:r>
          </w:p>
        </w:tc>
        <w:tc>
          <w:tcPr>
            <w:tcW w:w="441"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手工监测频次</w:t>
            </w:r>
          </w:p>
        </w:tc>
        <w:tc>
          <w:tcPr>
            <w:tcW w:w="441"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color w:val="000000"/>
                <w:kern w:val="0"/>
                <w:sz w:val="24"/>
                <w:lang w:bidi="ar"/>
              </w:rPr>
            </w:pPr>
          </w:p>
        </w:tc>
      </w:tr>
      <w:tr>
        <w:tblPrEx>
          <w:tblCellMar>
            <w:top w:w="0" w:type="dxa"/>
            <w:left w:w="108" w:type="dxa"/>
            <w:bottom w:w="0" w:type="dxa"/>
            <w:right w:w="108" w:type="dxa"/>
          </w:tblCellMar>
        </w:tblPrEx>
        <w:trPr>
          <w:trHeight w:val="960" w:hRule="atLeast"/>
        </w:trPr>
        <w:tc>
          <w:tcPr>
            <w:tcW w:w="44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废气</w:t>
            </w: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DA003</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FCC催化裂化再生烟气排气筒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硫化氢</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96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D</w:t>
            </w:r>
            <w:r>
              <w:rPr>
                <w:rFonts w:ascii="仿宋" w:hAnsi="仿宋" w:eastAsia="仿宋" w:cs="仿宋"/>
                <w:kern w:val="0"/>
                <w:sz w:val="24"/>
                <w:lang w:bidi="ar"/>
              </w:rPr>
              <w:t>A004</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kern w:val="0"/>
                <w:sz w:val="24"/>
                <w:lang w:bidi="ar"/>
              </w:rPr>
            </w:pPr>
            <w:r>
              <w:rPr>
                <w:rFonts w:ascii="Arial" w:hAnsi="Arial" w:cs="Arial"/>
                <w:color w:val="333333"/>
                <w:szCs w:val="21"/>
                <w:shd w:val="clear" w:color="auto" w:fill="FFFFFF"/>
              </w:rPr>
              <w:t>延迟焦化装置加热炉排气筒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硫化氢、</w:t>
            </w:r>
          </w:p>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苯、</w:t>
            </w:r>
          </w:p>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甲苯、</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二甲苯</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995"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DA005</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催化汽油加氢装置一段加氢加热炉排气筒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氮氧化物</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17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DA006</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催化汽油加氢装置二段加氢加热炉排气筒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氮氧化物</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17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DA007</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柴油加氢改质装置加热炉排气筒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烟气流速,烟气温度,烟气压力,烟气含湿量,烟气量,氧含量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非甲烷总烃</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7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DA013</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非临氢改质装置加热炉排气筒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氮氧化物、二氧化硫、颗粒物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225"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DA014</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非临氢改质装置再生加热炉排气筒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氮氧化物</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165"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DA015</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催化干气制乙苯苯乙烯联合装置循环苯加热炉排气筒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氮氧化物</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87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DA017</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导热油炉排气筒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18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DA020</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锅炉废气排放口</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sz w:val="18"/>
                <w:szCs w:val="18"/>
              </w:rPr>
            </w:pPr>
            <w:r>
              <w:rPr>
                <w:rFonts w:hint="eastAsia" w:ascii="仿宋" w:hAnsi="仿宋" w:eastAsia="仿宋" w:cs="仿宋"/>
                <w:kern w:val="0"/>
                <w:sz w:val="18"/>
                <w:szCs w:val="18"/>
                <w:lang w:bidi="ar"/>
              </w:rPr>
              <w:t>氧含量,烟气量,烟气流速,烟气温度,烟气含湿量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硫化氢</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DA021</w:t>
            </w:r>
          </w:p>
        </w:tc>
        <w:tc>
          <w:tcPr>
            <w:tcW w:w="727" w:type="pct"/>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污水处理站排气筒</w:t>
            </w:r>
          </w:p>
        </w:tc>
        <w:tc>
          <w:tcPr>
            <w:tcW w:w="559" w:type="pct"/>
            <w:vMerge w:val="restart"/>
            <w:tcBorders>
              <w:top w:val="single" w:color="auto" w:sz="4" w:space="0"/>
              <w:left w:val="single" w:color="auto" w:sz="4" w:space="0"/>
              <w:right w:val="single" w:color="auto" w:sz="4" w:space="0"/>
            </w:tcBorders>
            <w:shd w:val="clear" w:color="auto" w:fill="FFFFFF"/>
            <w:vAlign w:val="center"/>
          </w:tcPr>
          <w:p>
            <w:pPr>
              <w:widowControl/>
              <w:jc w:val="left"/>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臭气浓度</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vMerge w:val="continue"/>
            <w:tcBorders>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727" w:type="pct"/>
            <w:vMerge w:val="continue"/>
            <w:tcBorders>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59" w:type="pct"/>
            <w:vMerge w:val="continue"/>
            <w:tcBorders>
              <w:left w:val="single" w:color="auto" w:sz="4" w:space="0"/>
              <w:right w:val="single" w:color="auto" w:sz="4" w:space="0"/>
            </w:tcBorders>
            <w:shd w:val="clear" w:color="auto" w:fill="FFFFFF"/>
            <w:vAlign w:val="center"/>
          </w:tcPr>
          <w:p>
            <w:pPr>
              <w:widowControl/>
              <w:jc w:val="left"/>
              <w:textAlignment w:val="center"/>
              <w:rPr>
                <w:rFonts w:ascii="仿宋" w:hAnsi="仿宋" w:eastAsia="仿宋" w:cs="仿宋"/>
                <w:kern w:val="0"/>
                <w:sz w:val="18"/>
                <w:szCs w:val="18"/>
                <w:lang w:bidi="ar"/>
              </w:rPr>
            </w:pP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氨（氨气）</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vMerge w:val="continue"/>
            <w:tcBorders>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727" w:type="pct"/>
            <w:vMerge w:val="continue"/>
            <w:tcBorders>
              <w:left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59" w:type="pct"/>
            <w:vMerge w:val="continue"/>
            <w:tcBorders>
              <w:left w:val="single" w:color="auto" w:sz="4" w:space="0"/>
              <w:right w:val="single" w:color="auto" w:sz="4" w:space="0"/>
            </w:tcBorders>
            <w:shd w:val="clear" w:color="auto" w:fill="FFFFFF"/>
            <w:vAlign w:val="center"/>
          </w:tcPr>
          <w:p>
            <w:pPr>
              <w:widowControl/>
              <w:jc w:val="left"/>
              <w:textAlignment w:val="center"/>
              <w:rPr>
                <w:rFonts w:ascii="仿宋" w:hAnsi="仿宋" w:eastAsia="仿宋" w:cs="仿宋"/>
                <w:kern w:val="0"/>
                <w:sz w:val="18"/>
                <w:szCs w:val="18"/>
                <w:lang w:bidi="ar"/>
              </w:rPr>
            </w:pP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硫化氢</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vMerge w:val="continue"/>
            <w:tcBorders>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727" w:type="pct"/>
            <w:vMerge w:val="continue"/>
            <w:tcBorders>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59" w:type="pct"/>
            <w:vMerge w:val="continue"/>
            <w:tcBorders>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kern w:val="0"/>
                <w:sz w:val="18"/>
                <w:szCs w:val="18"/>
                <w:lang w:bidi="ar"/>
              </w:rPr>
            </w:pPr>
          </w:p>
        </w:tc>
        <w:tc>
          <w:tcPr>
            <w:tcW w:w="496" w:type="pct"/>
            <w:tcBorders>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酚类</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DA022</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汽车装载系统油气回收排气筒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氧含量,烟气流速,烟气温度,烟气含湿量,烟气量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挥发性有机物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87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DA023</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火车装载系统油气回收排气筒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挥发性有机物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6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DA024</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芳烃罐区油气回收排气筒</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挥发性有机物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87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DA025</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苯乙烯罐区油气回收排气筒（进出口）</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挥发性有机物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020" w:hRule="atLeast"/>
        </w:trPr>
        <w:tc>
          <w:tcPr>
            <w:tcW w:w="44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2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w:t>
            </w:r>
            <w:r>
              <w:rPr>
                <w:rFonts w:ascii="仿宋" w:hAnsi="仿宋" w:eastAsia="仿宋" w:cs="仿宋"/>
                <w:kern w:val="0"/>
                <w:sz w:val="24"/>
                <w:lang w:bidi="ar"/>
              </w:rPr>
              <w:t>35</w:t>
            </w: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五千方罐区油气回收排气筒（进口）</w:t>
            </w: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49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挥发性有机物</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82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4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bl>
    <w:p/>
    <w:tbl>
      <w:tblPr>
        <w:tblStyle w:val="3"/>
        <w:tblW w:w="4995" w:type="pct"/>
        <w:tblInd w:w="0" w:type="dxa"/>
        <w:tblLayout w:type="autofit"/>
        <w:tblCellMar>
          <w:top w:w="0" w:type="dxa"/>
          <w:left w:w="108" w:type="dxa"/>
          <w:bottom w:w="0" w:type="dxa"/>
          <w:right w:w="108" w:type="dxa"/>
        </w:tblCellMar>
      </w:tblPr>
      <w:tblGrid>
        <w:gridCol w:w="1182"/>
        <w:gridCol w:w="830"/>
        <w:gridCol w:w="2846"/>
        <w:gridCol w:w="669"/>
        <w:gridCol w:w="1681"/>
        <w:gridCol w:w="1258"/>
        <w:gridCol w:w="2656"/>
        <w:gridCol w:w="1519"/>
        <w:gridCol w:w="1519"/>
      </w:tblGrid>
      <w:tr>
        <w:tblPrEx>
          <w:tblCellMar>
            <w:top w:w="0" w:type="dxa"/>
            <w:left w:w="108" w:type="dxa"/>
            <w:bottom w:w="0" w:type="dxa"/>
            <w:right w:w="108" w:type="dxa"/>
          </w:tblCellMar>
        </w:tblPrEx>
        <w:trPr>
          <w:trHeight w:val="658" w:hRule="exact"/>
        </w:trPr>
        <w:tc>
          <w:tcPr>
            <w:tcW w:w="41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废水</w:t>
            </w:r>
          </w:p>
        </w:tc>
        <w:tc>
          <w:tcPr>
            <w:tcW w:w="293"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DW001</w:t>
            </w:r>
          </w:p>
        </w:tc>
        <w:tc>
          <w:tcPr>
            <w:tcW w:w="1004"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华星石化污水处理厂总排放口</w:t>
            </w:r>
          </w:p>
        </w:tc>
        <w:tc>
          <w:tcPr>
            <w:tcW w:w="236"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pH值</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1次/周</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悬浮物</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1次/周</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化学需氧量</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1次/周</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氨氮（NH3-N）</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1次/周</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五日生化需氧量</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总有机碳</w:t>
            </w:r>
          </w:p>
        </w:tc>
        <w:tc>
          <w:tcPr>
            <w:tcW w:w="44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1次/月</w:t>
            </w:r>
          </w:p>
        </w:tc>
        <w:tc>
          <w:tcPr>
            <w:tcW w:w="5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总氮（以N计）</w:t>
            </w:r>
          </w:p>
        </w:tc>
        <w:tc>
          <w:tcPr>
            <w:tcW w:w="444"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1次/周</w:t>
            </w:r>
          </w:p>
        </w:tc>
        <w:tc>
          <w:tcPr>
            <w:tcW w:w="536"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总磷（以P计）</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1次/周</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硫化物</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1次/周</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石油类</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1次/周</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挥发酚</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1次/周</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氟化物</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1次/周</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苯</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甲苯</w:t>
            </w:r>
          </w:p>
        </w:tc>
        <w:tc>
          <w:tcPr>
            <w:tcW w:w="44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乙苯</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邻二甲苯</w:t>
            </w:r>
          </w:p>
        </w:tc>
        <w:tc>
          <w:tcPr>
            <w:tcW w:w="444"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对二甲苯</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间二甲苯</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总氰化物</w:t>
            </w:r>
          </w:p>
        </w:tc>
        <w:tc>
          <w:tcPr>
            <w:tcW w:w="44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总钒</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DW002</w:t>
            </w:r>
          </w:p>
        </w:tc>
        <w:tc>
          <w:tcPr>
            <w:tcW w:w="1004"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脱硫废水排放口</w:t>
            </w:r>
          </w:p>
        </w:tc>
        <w:tc>
          <w:tcPr>
            <w:tcW w:w="236"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pH值</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总汞</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总镉</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总砷</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总铅</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流量</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DW003</w:t>
            </w:r>
          </w:p>
        </w:tc>
        <w:tc>
          <w:tcPr>
            <w:tcW w:w="100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催裂化脱硫废水排放口</w:t>
            </w:r>
          </w:p>
        </w:tc>
        <w:tc>
          <w:tcPr>
            <w:tcW w:w="2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总镍</w:t>
            </w:r>
          </w:p>
        </w:tc>
        <w:tc>
          <w:tcPr>
            <w:tcW w:w="44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DW004</w:t>
            </w:r>
          </w:p>
        </w:tc>
        <w:tc>
          <w:tcPr>
            <w:tcW w:w="1004"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电脱盐废水排放口</w:t>
            </w:r>
          </w:p>
        </w:tc>
        <w:tc>
          <w:tcPr>
            <w:tcW w:w="236"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总汞</w:t>
            </w:r>
          </w:p>
        </w:tc>
        <w:tc>
          <w:tcPr>
            <w:tcW w:w="44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1004"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36" w:type="pct"/>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烷基汞</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DW005</w:t>
            </w:r>
          </w:p>
        </w:tc>
        <w:tc>
          <w:tcPr>
            <w:tcW w:w="100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酸性水气体装置废水排放口</w:t>
            </w:r>
          </w:p>
        </w:tc>
        <w:tc>
          <w:tcPr>
            <w:tcW w:w="2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总砷</w:t>
            </w:r>
          </w:p>
        </w:tc>
        <w:tc>
          <w:tcPr>
            <w:tcW w:w="444"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DW006</w:t>
            </w:r>
          </w:p>
        </w:tc>
        <w:tc>
          <w:tcPr>
            <w:tcW w:w="100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冷焦水、切焦水废水排放口</w:t>
            </w:r>
          </w:p>
        </w:tc>
        <w:tc>
          <w:tcPr>
            <w:tcW w:w="236" w:type="pct"/>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苯并[a]芘</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1次/月</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58" w:hRule="exact"/>
        </w:trPr>
        <w:tc>
          <w:tcPr>
            <w:tcW w:w="417" w:type="pct"/>
            <w:vMerge w:val="restart"/>
            <w:tcBorders>
              <w:top w:val="single" w:color="000000" w:sz="8" w:space="0"/>
              <w:left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restart"/>
            <w:tcBorders>
              <w:top w:val="single" w:color="000000" w:sz="8" w:space="0"/>
              <w:left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DW007</w:t>
            </w:r>
          </w:p>
        </w:tc>
        <w:tc>
          <w:tcPr>
            <w:tcW w:w="1004" w:type="pct"/>
            <w:vMerge w:val="restart"/>
            <w:tcBorders>
              <w:top w:val="single" w:color="000000" w:sz="8" w:space="0"/>
              <w:left w:val="single" w:color="000000" w:sz="8" w:space="0"/>
              <w:right w:val="single" w:color="000000" w:sz="8" w:space="0"/>
            </w:tcBorders>
            <w:shd w:val="clear" w:color="auto" w:fill="FFFFFF"/>
            <w:vAlign w:val="center"/>
          </w:tcPr>
          <w:p>
            <w:pPr>
              <w:pStyle w:val="6"/>
              <w:adjustRightInd w:val="0"/>
              <w:snapToGrid w:val="0"/>
              <w:jc w:val="center"/>
              <w:rPr>
                <w:rFonts w:ascii="宋体" w:hAnsi="宋体"/>
              </w:rPr>
            </w:pPr>
            <w:r>
              <w:rPr>
                <w:rFonts w:hint="eastAsia" w:ascii="宋体" w:hAnsi="宋体"/>
              </w:rPr>
              <w:t>雨排口</w:t>
            </w:r>
          </w:p>
        </w:tc>
        <w:tc>
          <w:tcPr>
            <w:tcW w:w="236" w:type="pct"/>
            <w:vMerge w:val="restart"/>
            <w:tcBorders>
              <w:top w:val="single" w:color="000000" w:sz="8" w:space="0"/>
              <w:left w:val="single" w:color="000000" w:sz="8"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流量</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pH值</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雨季排放期间按日监测</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p>
        </w:tc>
      </w:tr>
      <w:tr>
        <w:tblPrEx>
          <w:tblCellMar>
            <w:top w:w="0" w:type="dxa"/>
            <w:left w:w="108" w:type="dxa"/>
            <w:bottom w:w="0" w:type="dxa"/>
            <w:right w:w="108" w:type="dxa"/>
          </w:tblCellMar>
        </w:tblPrEx>
        <w:trPr>
          <w:trHeight w:val="658" w:hRule="exact"/>
        </w:trPr>
        <w:tc>
          <w:tcPr>
            <w:tcW w:w="417" w:type="pct"/>
            <w:vMerge w:val="continue"/>
            <w:tcBorders>
              <w:left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1004"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236" w:type="pct"/>
            <w:vMerge w:val="continue"/>
            <w:tcBorders>
              <w:left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悬浮物</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雨季排放期间按日监测</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p>
        </w:tc>
      </w:tr>
      <w:tr>
        <w:tblPrEx>
          <w:tblCellMar>
            <w:top w:w="0" w:type="dxa"/>
            <w:left w:w="108" w:type="dxa"/>
            <w:bottom w:w="0" w:type="dxa"/>
            <w:right w:w="108" w:type="dxa"/>
          </w:tblCellMar>
        </w:tblPrEx>
        <w:trPr>
          <w:trHeight w:val="658" w:hRule="exact"/>
        </w:trPr>
        <w:tc>
          <w:tcPr>
            <w:tcW w:w="417" w:type="pct"/>
            <w:vMerge w:val="continue"/>
            <w:tcBorders>
              <w:left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1004"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236" w:type="pct"/>
            <w:vMerge w:val="continue"/>
            <w:tcBorders>
              <w:left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化学需氧量</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雨季排放期间按日监测</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p>
        </w:tc>
      </w:tr>
      <w:tr>
        <w:tblPrEx>
          <w:tblCellMar>
            <w:top w:w="0" w:type="dxa"/>
            <w:left w:w="108" w:type="dxa"/>
            <w:bottom w:w="0" w:type="dxa"/>
            <w:right w:w="108" w:type="dxa"/>
          </w:tblCellMar>
        </w:tblPrEx>
        <w:trPr>
          <w:trHeight w:val="658" w:hRule="exact"/>
        </w:trPr>
        <w:tc>
          <w:tcPr>
            <w:tcW w:w="417" w:type="pct"/>
            <w:vMerge w:val="continue"/>
            <w:tcBorders>
              <w:left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1004" w:type="pct"/>
            <w:vMerge w:val="continue"/>
            <w:tcBorders>
              <w:left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236" w:type="pct"/>
            <w:vMerge w:val="continue"/>
            <w:tcBorders>
              <w:left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氨氮（NH3-N）</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雨季排放期间按日监测</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p>
        </w:tc>
      </w:tr>
      <w:tr>
        <w:tblPrEx>
          <w:tblCellMar>
            <w:top w:w="0" w:type="dxa"/>
            <w:left w:w="108" w:type="dxa"/>
            <w:bottom w:w="0" w:type="dxa"/>
            <w:right w:w="108" w:type="dxa"/>
          </w:tblCellMar>
        </w:tblPrEx>
        <w:trPr>
          <w:trHeight w:val="658" w:hRule="exact"/>
        </w:trPr>
        <w:tc>
          <w:tcPr>
            <w:tcW w:w="417" w:type="pct"/>
            <w:vMerge w:val="continue"/>
            <w:tcBorders>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293" w:type="pct"/>
            <w:vMerge w:val="continue"/>
            <w:tcBorders>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1004" w:type="pct"/>
            <w:vMerge w:val="continue"/>
            <w:tcBorders>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236" w:type="pct"/>
            <w:vMerge w:val="continue"/>
            <w:tcBorders>
              <w:left w:val="single" w:color="000000" w:sz="8" w:space="0"/>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石油类</w:t>
            </w: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手工</w:t>
            </w:r>
          </w:p>
        </w:tc>
        <w:tc>
          <w:tcPr>
            <w:tcW w:w="937"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宋体" w:hAnsi="宋体" w:eastAsia="宋体" w:cs="Times New Roman"/>
              </w:rPr>
              <w:t>瞬时采样 至少3个瞬时样</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雨季排放期间按日监测</w:t>
            </w:r>
          </w:p>
        </w:tc>
        <w:tc>
          <w:tcPr>
            <w:tcW w:w="53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p>
        </w:tc>
      </w:tr>
    </w:tbl>
    <w:p/>
    <w:p>
      <w:pPr>
        <w:jc w:val="center"/>
        <w:rPr>
          <w:b/>
          <w:bCs/>
          <w:sz w:val="30"/>
          <w:szCs w:val="30"/>
        </w:rPr>
      </w:pPr>
    </w:p>
    <w:p>
      <w:pPr>
        <w:jc w:val="center"/>
        <w:rPr>
          <w:b/>
          <w:bCs/>
          <w:sz w:val="30"/>
          <w:szCs w:val="30"/>
        </w:rPr>
      </w:pPr>
    </w:p>
    <w:p>
      <w:pPr>
        <w:jc w:val="center"/>
        <w:rPr>
          <w:b/>
          <w:bCs/>
          <w:sz w:val="30"/>
          <w:szCs w:val="30"/>
        </w:rPr>
      </w:pPr>
      <w:r>
        <w:rPr>
          <w:rFonts w:hint="eastAsia"/>
          <w:b/>
          <w:bCs/>
          <w:sz w:val="30"/>
          <w:szCs w:val="30"/>
        </w:rPr>
        <w:t>季度检测内容</w:t>
      </w:r>
    </w:p>
    <w:tbl>
      <w:tblPr>
        <w:tblStyle w:val="3"/>
        <w:tblW w:w="5033" w:type="pct"/>
        <w:tblInd w:w="0" w:type="dxa"/>
        <w:tblLayout w:type="autofit"/>
        <w:tblCellMar>
          <w:top w:w="0" w:type="dxa"/>
          <w:left w:w="108" w:type="dxa"/>
          <w:bottom w:w="0" w:type="dxa"/>
          <w:right w:w="108" w:type="dxa"/>
        </w:tblCellMar>
      </w:tblPr>
      <w:tblGrid>
        <w:gridCol w:w="1176"/>
        <w:gridCol w:w="1285"/>
        <w:gridCol w:w="1199"/>
        <w:gridCol w:w="1847"/>
        <w:gridCol w:w="1750"/>
        <w:gridCol w:w="1248"/>
        <w:gridCol w:w="2644"/>
        <w:gridCol w:w="1508"/>
        <w:gridCol w:w="1611"/>
      </w:tblGrid>
      <w:tr>
        <w:tblPrEx>
          <w:tblCellMar>
            <w:top w:w="0" w:type="dxa"/>
            <w:left w:w="108" w:type="dxa"/>
            <w:bottom w:w="0" w:type="dxa"/>
            <w:right w:w="108" w:type="dxa"/>
          </w:tblCellMar>
        </w:tblPrEx>
        <w:trPr>
          <w:trHeight w:val="1725" w:hRule="atLeast"/>
        </w:trPr>
        <w:tc>
          <w:tcPr>
            <w:tcW w:w="412" w:type="pct"/>
            <w:tcBorders>
              <w:top w:val="single" w:color="000000" w:sz="8" w:space="0"/>
              <w:left w:val="single" w:color="000000" w:sz="8" w:space="0"/>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污染源类别</w:t>
            </w:r>
          </w:p>
        </w:tc>
        <w:tc>
          <w:tcPr>
            <w:tcW w:w="450"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排放口编号</w:t>
            </w:r>
          </w:p>
        </w:tc>
        <w:tc>
          <w:tcPr>
            <w:tcW w:w="420"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排放口名称</w:t>
            </w:r>
          </w:p>
        </w:tc>
        <w:tc>
          <w:tcPr>
            <w:tcW w:w="647"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监测内容</w:t>
            </w:r>
          </w:p>
        </w:tc>
        <w:tc>
          <w:tcPr>
            <w:tcW w:w="613"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污染物名称</w:t>
            </w:r>
          </w:p>
        </w:tc>
        <w:tc>
          <w:tcPr>
            <w:tcW w:w="437"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监测设施</w:t>
            </w:r>
          </w:p>
        </w:tc>
        <w:tc>
          <w:tcPr>
            <w:tcW w:w="926"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手工监测采样方法及个数</w:t>
            </w:r>
          </w:p>
        </w:tc>
        <w:tc>
          <w:tcPr>
            <w:tcW w:w="528"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手工监测频次</w:t>
            </w:r>
          </w:p>
        </w:tc>
        <w:tc>
          <w:tcPr>
            <w:tcW w:w="564"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备注</w:t>
            </w:r>
          </w:p>
        </w:tc>
      </w:tr>
      <w:tr>
        <w:tblPrEx>
          <w:tblCellMar>
            <w:top w:w="0" w:type="dxa"/>
            <w:left w:w="108" w:type="dxa"/>
            <w:bottom w:w="0" w:type="dxa"/>
            <w:right w:w="108" w:type="dxa"/>
          </w:tblCellMar>
        </w:tblPrEx>
        <w:trPr>
          <w:trHeight w:val="585" w:hRule="atLeast"/>
        </w:trPr>
        <w:tc>
          <w:tcPr>
            <w:tcW w:w="41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废气</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DA001</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重交沥青装置加热炉排气筒</w:t>
            </w:r>
          </w:p>
        </w:tc>
        <w:tc>
          <w:tcPr>
            <w:tcW w:w="647" w:type="pct"/>
            <w:vMerge w:val="restart"/>
            <w:tcBorders>
              <w:top w:val="nil"/>
              <w:left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left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left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挥发性有机物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DA002</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DCC催化裂化再生烟气排气筒</w:t>
            </w:r>
          </w:p>
        </w:tc>
        <w:tc>
          <w:tcPr>
            <w:tcW w:w="647" w:type="pct"/>
            <w:vMerge w:val="restart"/>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镍及其化合物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480"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1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DA003</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FCC催化裂化再生烟气排气筒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镍及其化合物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DA004</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延迟焦化装置加热炉排气筒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挥发性有机物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DA007</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柴油加氢改质装置加热炉排气筒</w:t>
            </w:r>
          </w:p>
        </w:tc>
        <w:tc>
          <w:tcPr>
            <w:tcW w:w="647" w:type="pct"/>
            <w:vMerge w:val="restart"/>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烟气流速,烟气温度,烟气压力,烟气含湿量,烟气量,氧含量</w:t>
            </w: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DA008</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焦化汽柴油加氢装置分馏塔底重沸炉排气筒</w:t>
            </w:r>
          </w:p>
        </w:tc>
        <w:tc>
          <w:tcPr>
            <w:tcW w:w="647" w:type="pct"/>
            <w:vMerge w:val="restart"/>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DA009</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焦化汽柴油加氢装置加氢进料加热炉排气筒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DA010</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连续重整装置四合一加热炉排气筒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氯化氢</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挥发性有机物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DA011</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芳烃抽提装置加热炉排气筒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烟气流速,烟气温度,烟气压力,烟气含湿量,烟气量,氧含量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DA012</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非临氢改质切重塔重沸炉排气筒</w:t>
            </w:r>
          </w:p>
        </w:tc>
        <w:tc>
          <w:tcPr>
            <w:tcW w:w="647" w:type="pct"/>
            <w:vMerge w:val="restart"/>
            <w:tcBorders>
              <w:top w:val="single" w:color="auto" w:sz="4" w:space="0"/>
              <w:left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7"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647" w:type="pct"/>
            <w:vMerge w:val="continue"/>
            <w:tcBorders>
              <w:left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18"/>
                <w:szCs w:val="18"/>
                <w:lang w:bidi="ar"/>
              </w:rPr>
            </w:pP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c>
          <w:tcPr>
            <w:tcW w:w="647" w:type="pct"/>
            <w:vMerge w:val="continue"/>
            <w:tcBorders>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18"/>
                <w:szCs w:val="18"/>
                <w:lang w:bidi="ar"/>
              </w:rPr>
            </w:pP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DA016</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催化干气制乙苯苯乙烯联合装置乙苯脱氢加热炉排气筒</w:t>
            </w:r>
          </w:p>
        </w:tc>
        <w:tc>
          <w:tcPr>
            <w:tcW w:w="647" w:type="pct"/>
            <w:vMerge w:val="restart"/>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67"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DA018</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制氢装置转化炉排气筒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DA020</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锅炉废气排放口</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烟气黑度</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汞及其化合物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氮氧化物</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DA021</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污水处理站排气筒</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烟气流速,烟气温度,烟气含湿量,氧含量,烟气量</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苯</w:t>
            </w:r>
          </w:p>
        </w:tc>
        <w:tc>
          <w:tcPr>
            <w:tcW w:w="437" w:type="pct"/>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nil"/>
              <w:bottom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sz w:val="24"/>
              </w:rPr>
              <w:t>甲苯</w:t>
            </w:r>
          </w:p>
        </w:tc>
        <w:tc>
          <w:tcPr>
            <w:tcW w:w="437" w:type="pct"/>
            <w:tcBorders>
              <w:top w:val="nil"/>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nil"/>
              <w:bottom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nil"/>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sz w:val="24"/>
              </w:rPr>
              <w:t>二甲苯</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tcBorders>
              <w:top w:val="single" w:color="auto" w:sz="4"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nil"/>
              <w:bottom w:val="single" w:color="000000" w:sz="8"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非甲烷总烃</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restart"/>
            <w:tcBorders>
              <w:top w:val="single" w:color="auto" w:sz="4" w:space="0"/>
              <w:left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nil"/>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DW001</w:t>
            </w:r>
          </w:p>
        </w:tc>
        <w:tc>
          <w:tcPr>
            <w:tcW w:w="420" w:type="pct"/>
            <w:vMerge w:val="restart"/>
            <w:tcBorders>
              <w:top w:val="single" w:color="auto" w:sz="4" w:space="0"/>
              <w:left w:val="nil"/>
              <w:right w:val="single" w:color="auto" w:sz="4" w:space="0"/>
            </w:tcBorders>
            <w:shd w:val="clear" w:color="auto" w:fill="FFFFFF"/>
            <w:vAlign w:val="center"/>
          </w:tcPr>
          <w:p>
            <w:pPr>
              <w:jc w:val="center"/>
              <w:rPr>
                <w:rFonts w:ascii="仿宋" w:hAnsi="仿宋" w:eastAsia="仿宋" w:cs="仿宋"/>
                <w:sz w:val="24"/>
              </w:rPr>
            </w:pPr>
            <w:r>
              <w:rPr>
                <w:rFonts w:hint="eastAsia" w:ascii="仿宋" w:hAnsi="仿宋" w:eastAsia="仿宋" w:cs="仿宋"/>
                <w:kern w:val="0"/>
                <w:sz w:val="24"/>
                <w:lang w:bidi="ar"/>
              </w:rPr>
              <w:t>华星石化污水处理厂总排放口</w:t>
            </w:r>
          </w:p>
        </w:tc>
        <w:tc>
          <w:tcPr>
            <w:tcW w:w="647" w:type="pct"/>
            <w:vMerge w:val="restart"/>
            <w:tcBorders>
              <w:top w:val="single" w:color="auto" w:sz="4" w:space="0"/>
              <w:left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流量</w:t>
            </w:r>
          </w:p>
        </w:tc>
        <w:tc>
          <w:tcPr>
            <w:tcW w:w="613" w:type="pct"/>
            <w:tcBorders>
              <w:top w:val="single" w:color="auto" w:sz="4" w:space="0"/>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pH值</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宋体" w:hAnsi="宋体" w:eastAsia="宋体" w:cs="Times New Roman"/>
              </w:rPr>
              <w:t>瞬时采样 至少3个瞬时样</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left w:val="single" w:color="auto" w:sz="4"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left w:val="nil"/>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left w:val="nil"/>
              <w:right w:val="single" w:color="auto" w:sz="4" w:space="0"/>
            </w:tcBorders>
            <w:shd w:val="clear" w:color="auto" w:fill="FFFFFF"/>
            <w:vAlign w:val="center"/>
          </w:tcPr>
          <w:p>
            <w:pPr>
              <w:jc w:val="center"/>
              <w:rPr>
                <w:rFonts w:ascii="仿宋" w:hAnsi="仿宋" w:eastAsia="仿宋" w:cs="仿宋"/>
                <w:kern w:val="0"/>
                <w:sz w:val="24"/>
                <w:lang w:bidi="ar"/>
              </w:rPr>
            </w:pPr>
          </w:p>
        </w:tc>
        <w:tc>
          <w:tcPr>
            <w:tcW w:w="647" w:type="pct"/>
            <w:vMerge w:val="continue"/>
            <w:tcBorders>
              <w:left w:val="single" w:color="auto" w:sz="4"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000000" w:sz="8"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化学需氧量</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瞬时采样 至少3个瞬时样</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Times New Roman"/>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left w:val="nil"/>
              <w:bottom w:val="single" w:color="000000" w:sz="8" w:space="0"/>
              <w:right w:val="single" w:color="auto" w:sz="4" w:space="0"/>
            </w:tcBorders>
            <w:shd w:val="clear" w:color="auto" w:fill="FFFFFF"/>
            <w:vAlign w:val="center"/>
          </w:tcPr>
          <w:p>
            <w:pPr>
              <w:jc w:val="center"/>
              <w:rPr>
                <w:rFonts w:ascii="仿宋" w:hAnsi="仿宋" w:eastAsia="仿宋" w:cs="仿宋"/>
                <w:kern w:val="0"/>
                <w:sz w:val="24"/>
                <w:lang w:bidi="ar"/>
              </w:rPr>
            </w:pPr>
          </w:p>
        </w:tc>
        <w:tc>
          <w:tcPr>
            <w:tcW w:w="647" w:type="pct"/>
            <w:vMerge w:val="continue"/>
            <w:tcBorders>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18"/>
                <w:szCs w:val="18"/>
              </w:rPr>
            </w:pPr>
          </w:p>
        </w:tc>
        <w:tc>
          <w:tcPr>
            <w:tcW w:w="613" w:type="pct"/>
            <w:tcBorders>
              <w:top w:val="single" w:color="auto" w:sz="4" w:space="0"/>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宋体" w:hAnsi="宋体" w:eastAsia="宋体" w:cs="Times New Roman"/>
              </w:rPr>
              <w:t>氨氮（NH3-N）</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6"/>
              <w:adjustRightInd w:val="0"/>
              <w:snapToGrid w:val="0"/>
              <w:jc w:val="center"/>
              <w:rPr>
                <w:rFonts w:ascii="宋体" w:hAnsi="宋体"/>
              </w:rPr>
            </w:pPr>
            <w:r>
              <w:rPr>
                <w:rFonts w:hint="eastAsia" w:ascii="宋体" w:hAnsi="宋体"/>
              </w:rPr>
              <w:t>瞬时采样 至少3个瞬时样</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季度比对</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1725" w:hRule="atLeast"/>
        </w:trPr>
        <w:tc>
          <w:tcPr>
            <w:tcW w:w="412" w:type="pct"/>
            <w:tcBorders>
              <w:top w:val="single" w:color="000000" w:sz="8" w:space="0"/>
              <w:left w:val="single" w:color="000000" w:sz="8" w:space="0"/>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污染源类别/监测类别</w:t>
            </w:r>
          </w:p>
        </w:tc>
        <w:tc>
          <w:tcPr>
            <w:tcW w:w="450"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编号/监测点位</w:t>
            </w:r>
          </w:p>
        </w:tc>
        <w:tc>
          <w:tcPr>
            <w:tcW w:w="420"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名称</w:t>
            </w:r>
          </w:p>
        </w:tc>
        <w:tc>
          <w:tcPr>
            <w:tcW w:w="647"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24"/>
                <w:lang w:bidi="ar"/>
              </w:rPr>
              <w:t>监测内容</w:t>
            </w:r>
          </w:p>
        </w:tc>
        <w:tc>
          <w:tcPr>
            <w:tcW w:w="613" w:type="pct"/>
            <w:tcBorders>
              <w:top w:val="single" w:color="000000" w:sz="8"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污染物名称</w:t>
            </w:r>
          </w:p>
        </w:tc>
        <w:tc>
          <w:tcPr>
            <w:tcW w:w="437" w:type="pct"/>
            <w:tcBorders>
              <w:top w:val="single" w:color="auto" w:sz="4"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监测设施</w:t>
            </w:r>
          </w:p>
        </w:tc>
        <w:tc>
          <w:tcPr>
            <w:tcW w:w="926" w:type="pct"/>
            <w:tcBorders>
              <w:top w:val="single" w:color="auto" w:sz="4"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手工监测采样方法及个数</w:t>
            </w:r>
          </w:p>
        </w:tc>
        <w:tc>
          <w:tcPr>
            <w:tcW w:w="528" w:type="pct"/>
            <w:tcBorders>
              <w:top w:val="single" w:color="auto" w:sz="4"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手工监测频次</w:t>
            </w:r>
          </w:p>
        </w:tc>
        <w:tc>
          <w:tcPr>
            <w:tcW w:w="564" w:type="pct"/>
            <w:tcBorders>
              <w:top w:val="single" w:color="auto" w:sz="4" w:space="0"/>
              <w:left w:val="nil"/>
              <w:bottom w:val="single" w:color="auto" w:sz="4" w:space="0"/>
              <w:right w:val="single" w:color="000000" w:sz="8" w:space="0"/>
            </w:tcBorders>
            <w:shd w:val="clear" w:color="auto" w:fill="F5F3F4"/>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15" w:hRule="atLeast"/>
        </w:trPr>
        <w:tc>
          <w:tcPr>
            <w:tcW w:w="41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废气</w:t>
            </w:r>
          </w:p>
        </w:tc>
        <w:tc>
          <w:tcPr>
            <w:tcW w:w="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氨罐区周边</w:t>
            </w:r>
          </w:p>
        </w:tc>
        <w:tc>
          <w:tcPr>
            <w:tcW w:w="42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温度,湿度,气压,风速,风向</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氨</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20"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厂界</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温度,湿度,气压,风速,风向</w:t>
            </w: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臭气浓度</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49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氨（氨气）</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氯化氢</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435" w:hRule="atLeast"/>
        </w:trPr>
        <w:tc>
          <w:tcPr>
            <w:tcW w:w="41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4"/>
              </w:rPr>
            </w:pPr>
          </w:p>
        </w:tc>
        <w:tc>
          <w:tcPr>
            <w:tcW w:w="6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硫化氢</w:t>
            </w:r>
          </w:p>
        </w:tc>
        <w:tc>
          <w:tcPr>
            <w:tcW w:w="43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480" w:hRule="atLeast"/>
        </w:trPr>
        <w:tc>
          <w:tcPr>
            <w:tcW w:w="412" w:type="pct"/>
            <w:vMerge w:val="continue"/>
            <w:tcBorders>
              <w:top w:val="single" w:color="auto" w:sz="4"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47" w:type="pct"/>
            <w:vMerge w:val="continue"/>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13"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苯</w:t>
            </w:r>
          </w:p>
        </w:tc>
        <w:tc>
          <w:tcPr>
            <w:tcW w:w="437"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70" w:hRule="atLeast"/>
        </w:trPr>
        <w:tc>
          <w:tcPr>
            <w:tcW w:w="412"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甲苯</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55" w:hRule="atLeast"/>
        </w:trPr>
        <w:tc>
          <w:tcPr>
            <w:tcW w:w="412"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二甲苯</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85" w:hRule="atLeast"/>
        </w:trPr>
        <w:tc>
          <w:tcPr>
            <w:tcW w:w="412"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615" w:hRule="atLeast"/>
        </w:trPr>
        <w:tc>
          <w:tcPr>
            <w:tcW w:w="412" w:type="pct"/>
            <w:vMerge w:val="continue"/>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5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20"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47" w:type="pct"/>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13"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非甲烷总烃</w:t>
            </w: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自动</w:t>
            </w:r>
          </w:p>
        </w:tc>
        <w:tc>
          <w:tcPr>
            <w:tcW w:w="926"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528"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564"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kern w:val="0"/>
                <w:sz w:val="24"/>
                <w:lang w:bidi="ar"/>
              </w:rPr>
            </w:pPr>
          </w:p>
        </w:tc>
      </w:tr>
      <w:tr>
        <w:tblPrEx>
          <w:tblCellMar>
            <w:top w:w="0" w:type="dxa"/>
            <w:left w:w="108" w:type="dxa"/>
            <w:bottom w:w="0" w:type="dxa"/>
            <w:right w:w="108" w:type="dxa"/>
          </w:tblCellMar>
        </w:tblPrEx>
        <w:trPr>
          <w:trHeight w:val="557" w:hRule="atLeast"/>
        </w:trPr>
        <w:tc>
          <w:tcPr>
            <w:tcW w:w="412" w:type="pct"/>
            <w:tcBorders>
              <w:top w:val="nil"/>
              <w:left w:val="single" w:color="000000" w:sz="8" w:space="0"/>
              <w:bottom w:val="single" w:color="000000" w:sz="8" w:space="0"/>
              <w:right w:val="single" w:color="000000" w:sz="8" w:space="0"/>
            </w:tcBorders>
            <w:shd w:val="clear" w:color="auto" w:fill="auto"/>
            <w:vAlign w:val="center"/>
          </w:tcPr>
          <w:p>
            <w:pPr>
              <w:jc w:val="left"/>
              <w:rPr>
                <w:rFonts w:ascii="仿宋" w:hAnsi="仿宋" w:eastAsia="仿宋" w:cs="仿宋"/>
                <w:sz w:val="24"/>
              </w:rPr>
            </w:pPr>
          </w:p>
        </w:tc>
        <w:tc>
          <w:tcPr>
            <w:tcW w:w="450" w:type="pct"/>
            <w:tcBorders>
              <w:top w:val="nil"/>
              <w:left w:val="nil"/>
              <w:bottom w:val="single" w:color="000000" w:sz="8" w:space="0"/>
              <w:right w:val="single" w:color="000000" w:sz="8" w:space="0"/>
            </w:tcBorders>
            <w:shd w:val="clear" w:color="auto" w:fill="auto"/>
            <w:vAlign w:val="center"/>
          </w:tcPr>
          <w:p>
            <w:pPr>
              <w:jc w:val="left"/>
              <w:rPr>
                <w:rFonts w:ascii="仿宋" w:hAnsi="仿宋" w:eastAsia="仿宋" w:cs="仿宋"/>
                <w:sz w:val="24"/>
              </w:rPr>
            </w:pPr>
          </w:p>
        </w:tc>
        <w:tc>
          <w:tcPr>
            <w:tcW w:w="420"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噪声</w:t>
            </w:r>
          </w:p>
        </w:tc>
        <w:tc>
          <w:tcPr>
            <w:tcW w:w="647" w:type="pct"/>
            <w:tcBorders>
              <w:top w:val="nil"/>
              <w:left w:val="nil"/>
              <w:bottom w:val="single" w:color="000000" w:sz="8" w:space="0"/>
              <w:right w:val="single" w:color="000000" w:sz="8" w:space="0"/>
            </w:tcBorders>
            <w:shd w:val="clear" w:color="auto" w:fill="auto"/>
            <w:vAlign w:val="center"/>
          </w:tcPr>
          <w:p>
            <w:pPr>
              <w:jc w:val="left"/>
              <w:rPr>
                <w:rFonts w:ascii="仿宋" w:hAnsi="仿宋" w:eastAsia="仿宋" w:cs="仿宋"/>
                <w:sz w:val="24"/>
              </w:rPr>
            </w:pPr>
          </w:p>
        </w:tc>
        <w:tc>
          <w:tcPr>
            <w:tcW w:w="613" w:type="pct"/>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37"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1次/季</w:t>
            </w:r>
          </w:p>
        </w:tc>
        <w:tc>
          <w:tcPr>
            <w:tcW w:w="926" w:type="pct"/>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28" w:type="pct"/>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64" w:type="pct"/>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r>
    </w:tbl>
    <w:p>
      <w:pPr>
        <w:ind w:left="904" w:hanging="904" w:hangingChars="300"/>
        <w:jc w:val="left"/>
        <w:rPr>
          <w:b/>
          <w:bCs/>
          <w:sz w:val="30"/>
          <w:szCs w:val="30"/>
        </w:rPr>
      </w:pPr>
      <w:r>
        <w:rPr>
          <w:rFonts w:hint="eastAsia"/>
          <w:b/>
          <w:bCs/>
          <w:sz w:val="30"/>
          <w:szCs w:val="30"/>
        </w:rPr>
        <w:t>备注：季度比对项目中若在线监测设备（包括流速仪、湿度仪）长时间发生故障，需做人工检测，24小时内必须到厂进行检测，频次为6小时一次。</w:t>
      </w:r>
    </w:p>
    <w:p>
      <w:pPr>
        <w:jc w:val="left"/>
        <w:rPr>
          <w:b/>
          <w:bCs/>
          <w:sz w:val="30"/>
          <w:szCs w:val="30"/>
        </w:rPr>
      </w:pPr>
    </w:p>
    <w:p>
      <w:pPr>
        <w:jc w:val="center"/>
        <w:rPr>
          <w:b/>
          <w:bCs/>
          <w:sz w:val="30"/>
          <w:szCs w:val="30"/>
        </w:rPr>
      </w:pPr>
    </w:p>
    <w:p>
      <w:pPr>
        <w:jc w:val="center"/>
        <w:rPr>
          <w:b/>
          <w:bCs/>
          <w:sz w:val="30"/>
          <w:szCs w:val="30"/>
        </w:rPr>
      </w:pPr>
      <w:r>
        <w:rPr>
          <w:rFonts w:hint="eastAsia"/>
          <w:b/>
          <w:bCs/>
          <w:sz w:val="30"/>
          <w:szCs w:val="30"/>
        </w:rPr>
        <w:t>半年度和年度检测计划</w:t>
      </w:r>
    </w:p>
    <w:tbl>
      <w:tblPr>
        <w:tblStyle w:val="3"/>
        <w:tblW w:w="4988" w:type="pct"/>
        <w:tblInd w:w="0" w:type="dxa"/>
        <w:tblLayout w:type="autofit"/>
        <w:tblCellMar>
          <w:top w:w="0" w:type="dxa"/>
          <w:left w:w="108" w:type="dxa"/>
          <w:bottom w:w="0" w:type="dxa"/>
          <w:right w:w="108" w:type="dxa"/>
        </w:tblCellMar>
      </w:tblPr>
      <w:tblGrid>
        <w:gridCol w:w="20"/>
        <w:gridCol w:w="2696"/>
        <w:gridCol w:w="1072"/>
        <w:gridCol w:w="410"/>
        <w:gridCol w:w="478"/>
        <w:gridCol w:w="665"/>
        <w:gridCol w:w="1103"/>
        <w:gridCol w:w="1527"/>
        <w:gridCol w:w="371"/>
        <w:gridCol w:w="1601"/>
        <w:gridCol w:w="1485"/>
        <w:gridCol w:w="1499"/>
        <w:gridCol w:w="1213"/>
      </w:tblGrid>
      <w:tr>
        <w:trPr>
          <w:trHeight w:val="1725" w:hRule="atLeast"/>
        </w:trPr>
        <w:tc>
          <w:tcPr>
            <w:tcW w:w="960" w:type="pct"/>
            <w:gridSpan w:val="2"/>
            <w:tcBorders>
              <w:top w:val="single" w:color="000000" w:sz="8" w:space="0"/>
              <w:left w:val="single" w:color="000000" w:sz="8" w:space="0"/>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污染源类别/监测类别</w:t>
            </w:r>
          </w:p>
        </w:tc>
        <w:tc>
          <w:tcPr>
            <w:tcW w:w="524"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编号/监测点位</w:t>
            </w:r>
          </w:p>
        </w:tc>
        <w:tc>
          <w:tcPr>
            <w:tcW w:w="404"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名称</w:t>
            </w:r>
          </w:p>
        </w:tc>
        <w:tc>
          <w:tcPr>
            <w:tcW w:w="930"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监测内容</w:t>
            </w:r>
          </w:p>
        </w:tc>
        <w:tc>
          <w:tcPr>
            <w:tcW w:w="697"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污染物名称</w:t>
            </w:r>
          </w:p>
        </w:tc>
        <w:tc>
          <w:tcPr>
            <w:tcW w:w="525"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监测设施</w:t>
            </w:r>
          </w:p>
        </w:tc>
        <w:tc>
          <w:tcPr>
            <w:tcW w:w="530"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手工监测采样方法及个数</w:t>
            </w:r>
          </w:p>
        </w:tc>
        <w:tc>
          <w:tcPr>
            <w:tcW w:w="429"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手工监测频次</w:t>
            </w:r>
          </w:p>
        </w:tc>
      </w:tr>
      <w:tr>
        <w:tblPrEx>
          <w:tblCellMar>
            <w:top w:w="0" w:type="dxa"/>
            <w:left w:w="108" w:type="dxa"/>
            <w:bottom w:w="0" w:type="dxa"/>
            <w:right w:w="108" w:type="dxa"/>
          </w:tblCellMar>
        </w:tblPrEx>
        <w:trPr>
          <w:trHeight w:val="585" w:hRule="atLeast"/>
        </w:trPr>
        <w:tc>
          <w:tcPr>
            <w:tcW w:w="960" w:type="pct"/>
            <w:gridSpan w:val="2"/>
            <w:vMerge w:val="restart"/>
            <w:tcBorders>
              <w:top w:val="single" w:color="000000" w:sz="8" w:space="0"/>
              <w:left w:val="single" w:color="000000" w:sz="8" w:space="0"/>
              <w:right w:val="single" w:color="000000" w:sz="8"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废气</w:t>
            </w:r>
          </w:p>
        </w:tc>
        <w:tc>
          <w:tcPr>
            <w:tcW w:w="524" w:type="pct"/>
            <w:gridSpan w:val="2"/>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DA017</w:t>
            </w:r>
          </w:p>
        </w:tc>
        <w:tc>
          <w:tcPr>
            <w:tcW w:w="404" w:type="pct"/>
            <w:gridSpan w:val="2"/>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导热油炉排气筒</w:t>
            </w:r>
          </w:p>
        </w:tc>
        <w:tc>
          <w:tcPr>
            <w:tcW w:w="930" w:type="pct"/>
            <w:gridSpan w:val="2"/>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烟气流速,烟气温度,烟气含湿量,氧含量,烟气量</w:t>
            </w:r>
          </w:p>
        </w:tc>
        <w:tc>
          <w:tcPr>
            <w:tcW w:w="697" w:type="pct"/>
            <w:gridSpan w:val="2"/>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 xml:space="preserve">林格曼黑度 </w:t>
            </w:r>
          </w:p>
        </w:tc>
        <w:tc>
          <w:tcPr>
            <w:tcW w:w="525"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530"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29"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1次/年</w:t>
            </w:r>
          </w:p>
        </w:tc>
      </w:tr>
      <w:tr>
        <w:tblPrEx>
          <w:tblCellMar>
            <w:top w:w="0" w:type="dxa"/>
            <w:left w:w="108" w:type="dxa"/>
            <w:bottom w:w="0" w:type="dxa"/>
            <w:right w:w="108" w:type="dxa"/>
          </w:tblCellMar>
        </w:tblPrEx>
        <w:trPr>
          <w:trHeight w:val="585" w:hRule="atLeast"/>
        </w:trPr>
        <w:tc>
          <w:tcPr>
            <w:tcW w:w="960" w:type="pct"/>
            <w:gridSpan w:val="2"/>
            <w:vMerge w:val="continue"/>
            <w:tcBorders>
              <w:left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24"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04"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930"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97" w:type="pct"/>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二氧化硫</w:t>
            </w:r>
          </w:p>
        </w:tc>
        <w:tc>
          <w:tcPr>
            <w:tcW w:w="525"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530"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29"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1次/年</w:t>
            </w:r>
          </w:p>
        </w:tc>
      </w:tr>
      <w:tr>
        <w:tblPrEx>
          <w:tblCellMar>
            <w:top w:w="0" w:type="dxa"/>
            <w:left w:w="108" w:type="dxa"/>
            <w:bottom w:w="0" w:type="dxa"/>
            <w:right w:w="108" w:type="dxa"/>
          </w:tblCellMar>
        </w:tblPrEx>
        <w:trPr>
          <w:trHeight w:val="521" w:hRule="atLeast"/>
        </w:trPr>
        <w:tc>
          <w:tcPr>
            <w:tcW w:w="960" w:type="pct"/>
            <w:gridSpan w:val="2"/>
            <w:vMerge w:val="continue"/>
            <w:tcBorders>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24"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404"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930" w:type="pct"/>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697" w:type="pct"/>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颗粒物</w:t>
            </w:r>
          </w:p>
        </w:tc>
        <w:tc>
          <w:tcPr>
            <w:tcW w:w="525"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530"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29"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1次/年</w:t>
            </w:r>
          </w:p>
        </w:tc>
      </w:tr>
      <w:tr>
        <w:tblPrEx>
          <w:tblCellMar>
            <w:top w:w="0" w:type="dxa"/>
            <w:left w:w="108" w:type="dxa"/>
            <w:bottom w:w="0" w:type="dxa"/>
            <w:right w:w="108" w:type="dxa"/>
          </w:tblCellMar>
        </w:tblPrEx>
        <w:trPr>
          <w:trHeight w:val="1432" w:hRule="atLeast"/>
        </w:trPr>
        <w:tc>
          <w:tcPr>
            <w:tcW w:w="960" w:type="pct"/>
            <w:gridSpan w:val="2"/>
            <w:tcBorders>
              <w:top w:val="single" w:color="000000" w:sz="8" w:space="0"/>
              <w:left w:val="single" w:color="000000" w:sz="8" w:space="0"/>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污染源类别/监测类别</w:t>
            </w:r>
          </w:p>
        </w:tc>
        <w:tc>
          <w:tcPr>
            <w:tcW w:w="524"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编号/监测点位</w:t>
            </w:r>
          </w:p>
        </w:tc>
        <w:tc>
          <w:tcPr>
            <w:tcW w:w="404"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名称</w:t>
            </w:r>
          </w:p>
        </w:tc>
        <w:tc>
          <w:tcPr>
            <w:tcW w:w="930"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监测内容</w:t>
            </w:r>
          </w:p>
        </w:tc>
        <w:tc>
          <w:tcPr>
            <w:tcW w:w="697" w:type="pct"/>
            <w:gridSpan w:val="2"/>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污染物名称</w:t>
            </w:r>
          </w:p>
        </w:tc>
        <w:tc>
          <w:tcPr>
            <w:tcW w:w="525"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监测设施</w:t>
            </w:r>
          </w:p>
        </w:tc>
        <w:tc>
          <w:tcPr>
            <w:tcW w:w="530"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手工监测采样方法及个数</w:t>
            </w:r>
          </w:p>
        </w:tc>
        <w:tc>
          <w:tcPr>
            <w:tcW w:w="429" w:type="pct"/>
            <w:tcBorders>
              <w:top w:val="single" w:color="000000" w:sz="8" w:space="0"/>
              <w:left w:val="nil"/>
              <w:bottom w:val="single" w:color="000000" w:sz="8" w:space="0"/>
              <w:right w:val="single" w:color="000000" w:sz="8" w:space="0"/>
            </w:tcBorders>
            <w:shd w:val="clear" w:color="auto" w:fill="F5F3F4"/>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手工监测频次</w:t>
            </w:r>
          </w:p>
        </w:tc>
      </w:tr>
      <w:tr>
        <w:tblPrEx>
          <w:tblCellMar>
            <w:top w:w="0" w:type="dxa"/>
            <w:left w:w="108" w:type="dxa"/>
            <w:bottom w:w="0" w:type="dxa"/>
            <w:right w:w="108" w:type="dxa"/>
          </w:tblCellMar>
        </w:tblPrEx>
        <w:trPr>
          <w:trHeight w:val="870" w:hRule="atLeast"/>
        </w:trPr>
        <w:tc>
          <w:tcPr>
            <w:tcW w:w="960" w:type="pct"/>
            <w:gridSpan w:val="2"/>
            <w:tcBorders>
              <w:top w:val="nil"/>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rPr>
            </w:pPr>
          </w:p>
        </w:tc>
        <w:tc>
          <w:tcPr>
            <w:tcW w:w="524" w:type="pct"/>
            <w:gridSpan w:val="2"/>
            <w:tcBorders>
              <w:top w:val="nil"/>
              <w:left w:val="nil"/>
              <w:bottom w:val="single" w:color="000000" w:sz="8" w:space="0"/>
              <w:right w:val="single" w:color="000000" w:sz="8" w:space="0"/>
            </w:tcBorders>
            <w:shd w:val="clear" w:color="auto" w:fill="FFFFFF"/>
            <w:vAlign w:val="center"/>
          </w:tcPr>
          <w:p>
            <w:pPr>
              <w:widowControl/>
              <w:ind w:firstLine="240" w:firstLineChars="100"/>
              <w:jc w:val="left"/>
              <w:textAlignment w:val="center"/>
              <w:rPr>
                <w:rFonts w:ascii="仿宋" w:hAnsi="仿宋" w:eastAsia="仿宋" w:cs="仿宋"/>
                <w:sz w:val="24"/>
              </w:rPr>
            </w:pPr>
            <w:r>
              <w:rPr>
                <w:rFonts w:hint="eastAsia" w:ascii="仿宋" w:hAnsi="仿宋" w:eastAsia="仿宋" w:cs="仿宋"/>
                <w:kern w:val="0"/>
                <w:sz w:val="24"/>
                <w:lang w:bidi="ar"/>
              </w:rPr>
              <w:t>厂界</w:t>
            </w:r>
          </w:p>
        </w:tc>
        <w:tc>
          <w:tcPr>
            <w:tcW w:w="404" w:type="pct"/>
            <w:gridSpan w:val="2"/>
            <w:tcBorders>
              <w:top w:val="nil"/>
              <w:left w:val="nil"/>
              <w:bottom w:val="single" w:color="000000" w:sz="8" w:space="0"/>
              <w:right w:val="single" w:color="000000" w:sz="8" w:space="0"/>
            </w:tcBorders>
            <w:shd w:val="clear" w:color="auto" w:fill="FFFFFF"/>
            <w:vAlign w:val="center"/>
          </w:tcPr>
          <w:p>
            <w:pPr>
              <w:rPr>
                <w:rFonts w:ascii="仿宋" w:hAnsi="仿宋" w:eastAsia="仿宋" w:cs="仿宋"/>
                <w:sz w:val="24"/>
              </w:rPr>
            </w:pPr>
          </w:p>
        </w:tc>
        <w:tc>
          <w:tcPr>
            <w:tcW w:w="930" w:type="pct"/>
            <w:gridSpan w:val="2"/>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温度,湿度,气压,风速,风向</w:t>
            </w:r>
          </w:p>
        </w:tc>
        <w:tc>
          <w:tcPr>
            <w:tcW w:w="697" w:type="pct"/>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苯并[a]芘</w:t>
            </w:r>
          </w:p>
        </w:tc>
        <w:tc>
          <w:tcPr>
            <w:tcW w:w="525"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手工</w:t>
            </w:r>
          </w:p>
        </w:tc>
        <w:tc>
          <w:tcPr>
            <w:tcW w:w="530"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非连续采样 至少3个</w:t>
            </w:r>
          </w:p>
        </w:tc>
        <w:tc>
          <w:tcPr>
            <w:tcW w:w="429" w:type="pc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1次/年</w:t>
            </w:r>
          </w:p>
        </w:tc>
      </w:tr>
      <w:tr>
        <w:tblPrEx>
          <w:tblCellMar>
            <w:top w:w="0" w:type="dxa"/>
            <w:left w:w="108" w:type="dxa"/>
            <w:bottom w:w="0" w:type="dxa"/>
            <w:right w:w="108" w:type="dxa"/>
          </w:tblCellMar>
        </w:tblPrEx>
        <w:trPr>
          <w:gridBefore w:val="1"/>
          <w:gridAfter w:val="4"/>
          <w:wBefore w:w="7" w:type="pct"/>
          <w:wAfter w:w="2050" w:type="pct"/>
          <w:trHeight w:val="300" w:hRule="atLeast"/>
        </w:trPr>
        <w:tc>
          <w:tcPr>
            <w:tcW w:w="1332" w:type="pct"/>
            <w:gridSpan w:val="2"/>
            <w:tcBorders>
              <w:top w:val="nil"/>
              <w:left w:val="nil"/>
              <w:bottom w:val="nil"/>
              <w:right w:val="nil"/>
            </w:tcBorders>
            <w:shd w:val="clear" w:color="auto" w:fill="auto"/>
            <w:noWrap/>
            <w:vAlign w:val="center"/>
          </w:tcPr>
          <w:p>
            <w:pPr>
              <w:widowControl/>
              <w:jc w:val="left"/>
              <w:textAlignment w:val="center"/>
              <w:rPr>
                <w:rFonts w:ascii="仿宋" w:hAnsi="仿宋" w:eastAsia="仿宋" w:cs="仿宋"/>
                <w:b/>
                <w:bCs/>
                <w:kern w:val="0"/>
                <w:sz w:val="24"/>
                <w:lang w:bidi="ar"/>
              </w:rPr>
            </w:pPr>
          </w:p>
          <w:p>
            <w:pPr>
              <w:widowControl/>
              <w:jc w:val="left"/>
              <w:textAlignment w:val="center"/>
              <w:rPr>
                <w:rFonts w:ascii="仿宋" w:hAnsi="仿宋" w:eastAsia="仿宋" w:cs="仿宋"/>
                <w:b/>
                <w:bCs/>
                <w:sz w:val="24"/>
              </w:rPr>
            </w:pPr>
            <w:r>
              <w:rPr>
                <w:rFonts w:hint="eastAsia" w:ascii="仿宋" w:hAnsi="仿宋" w:eastAsia="仿宋" w:cs="仿宋"/>
                <w:b/>
                <w:bCs/>
                <w:kern w:val="0"/>
                <w:sz w:val="24"/>
                <w:lang w:bidi="ar"/>
              </w:rPr>
              <w:t>循环冷却水中总有机碳（TOC）</w:t>
            </w:r>
          </w:p>
        </w:tc>
        <w:tc>
          <w:tcPr>
            <w:tcW w:w="314" w:type="pct"/>
            <w:gridSpan w:val="2"/>
            <w:tcBorders>
              <w:top w:val="nil"/>
              <w:left w:val="nil"/>
              <w:bottom w:val="nil"/>
              <w:right w:val="nil"/>
            </w:tcBorders>
            <w:shd w:val="clear" w:color="auto" w:fill="auto"/>
            <w:noWrap/>
            <w:vAlign w:val="center"/>
          </w:tcPr>
          <w:p>
            <w:pPr>
              <w:rPr>
                <w:rFonts w:ascii="宋体" w:hAnsi="宋体" w:eastAsia="宋体" w:cs="宋体"/>
                <w:b/>
                <w:bCs/>
                <w:sz w:val="24"/>
              </w:rPr>
            </w:pPr>
          </w:p>
        </w:tc>
        <w:tc>
          <w:tcPr>
            <w:tcW w:w="625" w:type="pct"/>
            <w:gridSpan w:val="2"/>
            <w:tcBorders>
              <w:top w:val="nil"/>
              <w:left w:val="nil"/>
              <w:bottom w:val="nil"/>
              <w:right w:val="nil"/>
            </w:tcBorders>
            <w:shd w:val="clear" w:color="auto" w:fill="auto"/>
            <w:noWrap/>
            <w:vAlign w:val="center"/>
          </w:tcPr>
          <w:p>
            <w:pPr>
              <w:rPr>
                <w:rFonts w:ascii="宋体" w:hAnsi="宋体" w:eastAsia="宋体" w:cs="宋体"/>
                <w:b/>
                <w:bCs/>
                <w:sz w:val="24"/>
              </w:rPr>
            </w:pPr>
          </w:p>
        </w:tc>
        <w:tc>
          <w:tcPr>
            <w:tcW w:w="671" w:type="pct"/>
            <w:gridSpan w:val="2"/>
            <w:tcBorders>
              <w:top w:val="nil"/>
              <w:left w:val="nil"/>
              <w:bottom w:val="nil"/>
              <w:right w:val="nil"/>
            </w:tcBorders>
            <w:shd w:val="clear" w:color="auto" w:fill="auto"/>
            <w:noWrap/>
            <w:vAlign w:val="center"/>
          </w:tcPr>
          <w:p>
            <w:pPr>
              <w:rPr>
                <w:rFonts w:ascii="宋体" w:hAnsi="宋体" w:eastAsia="宋体" w:cs="宋体"/>
                <w:b/>
                <w:bCs/>
                <w:sz w:val="24"/>
              </w:rPr>
            </w:pPr>
          </w:p>
        </w:tc>
      </w:tr>
      <w:tr>
        <w:tblPrEx>
          <w:tblCellMar>
            <w:top w:w="0" w:type="dxa"/>
            <w:left w:w="108" w:type="dxa"/>
            <w:bottom w:w="0" w:type="dxa"/>
            <w:right w:w="108" w:type="dxa"/>
          </w:tblCellMar>
        </w:tblPrEx>
        <w:trPr>
          <w:gridBefore w:val="1"/>
          <w:gridAfter w:val="4"/>
          <w:wBefore w:w="7" w:type="pct"/>
          <w:wAfter w:w="2050" w:type="pct"/>
          <w:trHeight w:val="585" w:hRule="atLeast"/>
        </w:trPr>
        <w:tc>
          <w:tcPr>
            <w:tcW w:w="1332" w:type="pct"/>
            <w:gridSpan w:val="2"/>
            <w:tcBorders>
              <w:top w:val="single" w:color="000000" w:sz="8"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循环水进口</w:t>
            </w:r>
          </w:p>
        </w:tc>
        <w:tc>
          <w:tcPr>
            <w:tcW w:w="314" w:type="pct"/>
            <w:gridSpan w:val="2"/>
            <w:tcBorders>
              <w:top w:val="single" w:color="000000" w:sz="8" w:space="0"/>
              <w:left w:val="nil"/>
              <w:bottom w:val="single" w:color="auto" w:sz="4" w:space="0"/>
              <w:right w:val="single" w:color="000000" w:sz="8" w:space="0"/>
            </w:tcBorders>
            <w:shd w:val="clear" w:color="auto" w:fill="auto"/>
            <w:vAlign w:val="center"/>
          </w:tcPr>
          <w:p>
            <w:pPr>
              <w:widowControl/>
              <w:ind w:firstLine="241" w:firstLineChars="100"/>
              <w:textAlignment w:val="center"/>
              <w:rPr>
                <w:rFonts w:ascii="仿宋" w:hAnsi="仿宋" w:eastAsia="仿宋" w:cs="仿宋"/>
                <w:b/>
                <w:bCs/>
                <w:sz w:val="24"/>
              </w:rPr>
            </w:pPr>
            <w:r>
              <w:rPr>
                <w:rFonts w:hint="eastAsia" w:ascii="仿宋" w:hAnsi="仿宋" w:eastAsia="仿宋" w:cs="仿宋"/>
                <w:b/>
                <w:bCs/>
                <w:kern w:val="0"/>
                <w:sz w:val="24"/>
                <w:lang w:bidi="ar"/>
              </w:rPr>
              <w:t>TOC</w:t>
            </w:r>
          </w:p>
        </w:tc>
        <w:tc>
          <w:tcPr>
            <w:tcW w:w="625" w:type="pct"/>
            <w:gridSpan w:val="2"/>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25个点位</w:t>
            </w:r>
          </w:p>
        </w:tc>
        <w:tc>
          <w:tcPr>
            <w:tcW w:w="671" w:type="pct"/>
            <w:gridSpan w:val="2"/>
            <w:tcBorders>
              <w:top w:val="single" w:color="000000" w:sz="8" w:space="0"/>
              <w:left w:val="nil"/>
              <w:bottom w:val="single" w:color="auto" w:sz="4" w:space="0"/>
              <w:right w:val="single" w:color="000000" w:sz="8"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每六个月1次</w:t>
            </w:r>
          </w:p>
        </w:tc>
      </w:tr>
      <w:tr>
        <w:tblPrEx>
          <w:tblCellMar>
            <w:top w:w="0" w:type="dxa"/>
            <w:left w:w="108" w:type="dxa"/>
            <w:bottom w:w="0" w:type="dxa"/>
            <w:right w:w="108" w:type="dxa"/>
          </w:tblCellMar>
        </w:tblPrEx>
        <w:trPr>
          <w:gridBefore w:val="1"/>
          <w:gridAfter w:val="4"/>
          <w:wBefore w:w="7" w:type="pct"/>
          <w:wAfter w:w="2050" w:type="pct"/>
          <w:trHeight w:val="585" w:hRule="atLeast"/>
        </w:trPr>
        <w:tc>
          <w:tcPr>
            <w:tcW w:w="133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循环水出口</w:t>
            </w:r>
          </w:p>
        </w:tc>
        <w:tc>
          <w:tcPr>
            <w:tcW w:w="3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1" w:firstLineChars="100"/>
              <w:textAlignment w:val="center"/>
              <w:rPr>
                <w:rFonts w:ascii="仿宋" w:hAnsi="仿宋" w:eastAsia="仿宋" w:cs="仿宋"/>
                <w:b/>
                <w:bCs/>
                <w:sz w:val="24"/>
              </w:rPr>
            </w:pPr>
            <w:r>
              <w:rPr>
                <w:rFonts w:hint="eastAsia" w:ascii="仿宋" w:hAnsi="仿宋" w:eastAsia="仿宋" w:cs="仿宋"/>
                <w:b/>
                <w:bCs/>
                <w:kern w:val="0"/>
                <w:sz w:val="24"/>
                <w:lang w:bidi="ar"/>
              </w:rPr>
              <w:t>TOC</w:t>
            </w:r>
          </w:p>
        </w:tc>
        <w:tc>
          <w:tcPr>
            <w:tcW w:w="62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25个点位</w:t>
            </w:r>
          </w:p>
        </w:tc>
        <w:tc>
          <w:tcPr>
            <w:tcW w:w="67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每六个月1次</w:t>
            </w:r>
          </w:p>
        </w:tc>
      </w:tr>
      <w:tr>
        <w:tblPrEx>
          <w:tblCellMar>
            <w:top w:w="0" w:type="dxa"/>
            <w:left w:w="108" w:type="dxa"/>
            <w:bottom w:w="0" w:type="dxa"/>
            <w:right w:w="108" w:type="dxa"/>
          </w:tblCellMar>
        </w:tblPrEx>
        <w:trPr>
          <w:gridBefore w:val="1"/>
          <w:gridAfter w:val="4"/>
          <w:wBefore w:w="7" w:type="pct"/>
          <w:wAfter w:w="2050" w:type="pct"/>
          <w:trHeight w:val="300" w:hRule="atLeast"/>
        </w:trPr>
        <w:tc>
          <w:tcPr>
            <w:tcW w:w="2942" w:type="pct"/>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备注：每六个月对流经换热器进口和出口的循环冷却水中的（TOC）浓度检测</w:t>
            </w:r>
          </w:p>
        </w:tc>
      </w:tr>
    </w:tbl>
    <w:p>
      <w:pPr>
        <w:numPr>
          <w:ilvl w:val="0"/>
          <w:numId w:val="2"/>
        </w:numPr>
        <w:ind w:leftChars="0"/>
        <w:jc w:val="left"/>
        <w:rPr>
          <w:rFonts w:hint="eastAsia"/>
          <w:sz w:val="28"/>
          <w:szCs w:val="28"/>
          <w:lang w:val="en-US" w:eastAsia="zh-CN"/>
        </w:rPr>
      </w:pPr>
      <w:r>
        <w:rPr>
          <w:rFonts w:hint="eastAsia"/>
          <w:sz w:val="28"/>
          <w:szCs w:val="28"/>
          <w:lang w:val="en-US" w:eastAsia="zh-CN"/>
        </w:rPr>
        <w:t>采样和样品保存方法：</w:t>
      </w:r>
    </w:p>
    <w:p>
      <w:pPr>
        <w:numPr>
          <w:numId w:val="0"/>
        </w:numPr>
        <w:ind w:firstLine="560" w:firstLineChars="200"/>
        <w:jc w:val="left"/>
        <w:rPr>
          <w:rFonts w:hint="eastAsia"/>
          <w:sz w:val="28"/>
          <w:szCs w:val="28"/>
          <w:lang w:val="en-US" w:eastAsia="zh-CN"/>
        </w:rPr>
      </w:pPr>
      <w:r>
        <w:rPr>
          <w:rFonts w:hint="eastAsia"/>
          <w:sz w:val="28"/>
          <w:szCs w:val="28"/>
          <w:lang w:val="en-US" w:eastAsia="zh-CN"/>
        </w:rPr>
        <w:t>废气手工采样方法的选择参照相关污染物排放标准及GB/T16157、HJ/T397等执行。</w:t>
      </w:r>
    </w:p>
    <w:p>
      <w:pPr>
        <w:numPr>
          <w:numId w:val="0"/>
        </w:numPr>
        <w:ind w:firstLine="560" w:firstLineChars="200"/>
        <w:jc w:val="left"/>
        <w:rPr>
          <w:rFonts w:hint="default"/>
          <w:sz w:val="28"/>
          <w:szCs w:val="28"/>
          <w:lang w:val="en-US" w:eastAsia="zh-CN"/>
        </w:rPr>
      </w:pPr>
      <w:r>
        <w:rPr>
          <w:rFonts w:hint="eastAsia"/>
          <w:sz w:val="28"/>
          <w:szCs w:val="28"/>
          <w:lang w:val="en-US" w:eastAsia="zh-CN"/>
        </w:rPr>
        <w:t>废水手工采样方法的选择参照相关污染物排放标准及HJ/T91、HJ/T92、HJ493、HJ494、HJ495等执行，根据监测指标的特点确定采样方法为混合采样方法和瞬时采样的方法，单次监测采样频次按相关污染物排放标准和HJ/T91执行。污水自动监测采样方法参照HJ/T353、</w:t>
      </w:r>
      <w:r>
        <w:rPr>
          <w:rFonts w:hint="eastAsia"/>
          <w:sz w:val="28"/>
          <w:szCs w:val="28"/>
          <w:lang w:val="en-US" w:eastAsia="zh-CN"/>
        </w:rPr>
        <w:t>HJ/T354、HJ/T355、HJ/T356。</w:t>
      </w:r>
    </w:p>
    <w:p>
      <w:pPr>
        <w:numPr>
          <w:ilvl w:val="0"/>
          <w:numId w:val="2"/>
        </w:numPr>
        <w:ind w:leftChars="0"/>
        <w:jc w:val="left"/>
        <w:rPr>
          <w:rFonts w:hint="eastAsia"/>
          <w:sz w:val="28"/>
          <w:szCs w:val="28"/>
          <w:lang w:val="en-US" w:eastAsia="zh-CN"/>
        </w:rPr>
      </w:pPr>
      <w:r>
        <w:rPr>
          <w:rFonts w:hint="eastAsia"/>
          <w:sz w:val="28"/>
          <w:szCs w:val="28"/>
          <w:lang w:val="en-US" w:eastAsia="zh-CN"/>
        </w:rPr>
        <w:t>监测分析方法和仪器：</w:t>
      </w:r>
    </w:p>
    <w:p>
      <w:pPr>
        <w:numPr>
          <w:numId w:val="0"/>
        </w:numPr>
        <w:ind w:firstLine="560" w:firstLineChars="200"/>
        <w:jc w:val="left"/>
        <w:rPr>
          <w:rFonts w:hint="eastAsia"/>
          <w:sz w:val="28"/>
          <w:szCs w:val="28"/>
          <w:lang w:val="en-US" w:eastAsia="zh-CN"/>
        </w:rPr>
      </w:pPr>
      <w:r>
        <w:rPr>
          <w:rFonts w:hint="eastAsia"/>
          <w:sz w:val="28"/>
          <w:szCs w:val="28"/>
          <w:lang w:val="en-US" w:eastAsia="zh-CN"/>
        </w:rPr>
        <w:t>监测分析方法的选用应充分考虑相关排放标准的规定、排污单位的排放特点、污染物排放浓度的高低、所采用的监测分析方法的检出限和干扰等因素。并优先选用所执行的排放标准中规定的方法。</w:t>
      </w:r>
    </w:p>
    <w:p>
      <w:pPr>
        <w:numPr>
          <w:numId w:val="0"/>
        </w:numPr>
        <w:ind w:firstLine="560" w:firstLineChars="200"/>
        <w:jc w:val="left"/>
        <w:rPr>
          <w:rFonts w:hint="eastAsia"/>
          <w:sz w:val="28"/>
          <w:szCs w:val="28"/>
          <w:lang w:val="en-US" w:eastAsia="zh-CN"/>
        </w:rPr>
      </w:pPr>
      <w:r>
        <w:rPr>
          <w:rFonts w:hint="eastAsia"/>
          <w:sz w:val="28"/>
          <w:szCs w:val="28"/>
          <w:lang w:val="en-US" w:eastAsia="zh-CN"/>
        </w:rPr>
        <w:t>第三方检测单位应配备数量充足、技术指标符合相关检测方法的各类监测仪器、标准物质和实验试剂。</w:t>
      </w:r>
    </w:p>
    <w:p>
      <w:pPr>
        <w:numPr>
          <w:numId w:val="0"/>
        </w:numPr>
        <w:ind w:firstLine="560" w:firstLineChars="200"/>
        <w:jc w:val="left"/>
        <w:rPr>
          <w:rFonts w:hint="default"/>
          <w:sz w:val="28"/>
          <w:szCs w:val="28"/>
          <w:lang w:val="en-US" w:eastAsia="zh-CN"/>
        </w:rPr>
      </w:pPr>
      <w:r>
        <w:rPr>
          <w:rFonts w:hint="eastAsia"/>
          <w:sz w:val="28"/>
          <w:szCs w:val="28"/>
          <w:lang w:val="en-US" w:eastAsia="zh-CN"/>
        </w:rPr>
        <w:t>监测仪器性能应符合相应方法标准和技术规范要求，根据仪器性能实施自校准或检定/校准、运行和维护、定期检查。</w:t>
      </w:r>
      <w:bookmarkStart w:id="2" w:name="_GoBack"/>
      <w:bookmarkEnd w:id="2"/>
    </w:p>
    <w:p>
      <w:pPr>
        <w:numPr>
          <w:ilvl w:val="0"/>
          <w:numId w:val="2"/>
        </w:numPr>
        <w:ind w:leftChars="0"/>
        <w:jc w:val="left"/>
        <w:rPr>
          <w:rFonts w:hint="eastAsia"/>
          <w:sz w:val="28"/>
          <w:szCs w:val="28"/>
          <w:lang w:val="en-US" w:eastAsia="zh-CN"/>
        </w:rPr>
      </w:pPr>
      <w:r>
        <w:rPr>
          <w:rFonts w:hint="eastAsia"/>
          <w:sz w:val="28"/>
          <w:szCs w:val="28"/>
          <w:lang w:val="en-US" w:eastAsia="zh-CN"/>
        </w:rPr>
        <w:t>质量保证与质量控制：</w:t>
      </w:r>
    </w:p>
    <w:p>
      <w:pPr>
        <w:numPr>
          <w:numId w:val="0"/>
        </w:numPr>
        <w:jc w:val="left"/>
        <w:rPr>
          <w:rFonts w:hint="eastAsia"/>
          <w:sz w:val="28"/>
          <w:szCs w:val="28"/>
          <w:lang w:val="en-US" w:eastAsia="zh-CN"/>
        </w:rPr>
      </w:pPr>
      <w:r>
        <w:rPr>
          <w:rFonts w:hint="eastAsia"/>
          <w:sz w:val="28"/>
          <w:szCs w:val="28"/>
          <w:lang w:val="en-US" w:eastAsia="zh-CN"/>
        </w:rPr>
        <w:t>质量保证：从检测方法的选择、检测过程的程序控制、检测结果的确认到检测报告的审核，每个过程须有详细的记录和关键的控制程序，以保障出具有代表性、准确性、精密性、可比性和完整性的检测报告。</w:t>
      </w:r>
    </w:p>
    <w:p>
      <w:pPr>
        <w:numPr>
          <w:numId w:val="0"/>
        </w:numPr>
        <w:ind w:firstLine="560" w:firstLineChars="200"/>
        <w:jc w:val="left"/>
        <w:rPr>
          <w:rFonts w:hint="eastAsia"/>
          <w:sz w:val="28"/>
          <w:szCs w:val="28"/>
          <w:lang w:val="en-US" w:eastAsia="zh-CN"/>
        </w:rPr>
      </w:pPr>
      <w:r>
        <w:rPr>
          <w:rFonts w:hint="eastAsia"/>
          <w:sz w:val="28"/>
          <w:szCs w:val="28"/>
          <w:lang w:val="en-US" w:eastAsia="zh-CN"/>
        </w:rPr>
        <w:t>采样时如遇采样规范未明确指出的情况，应与检测人员沟通。检验记录和原始数据的收集与整理工作有专人负责，对各类原始资料的信息合理性、完整性核查，一旦发现可疑之处，应立即查明原因。如检测数据异常时，立即组织实验室相关人员，依据原始记录自查原因，确认数据无误后，应及时上报。如遇采样问题或样品污染要重新采样复测，确保数据可靠。</w:t>
      </w:r>
    </w:p>
    <w:p>
      <w:pPr>
        <w:numPr>
          <w:numId w:val="0"/>
        </w:numPr>
        <w:jc w:val="left"/>
        <w:rPr>
          <w:rFonts w:hint="eastAsia"/>
          <w:sz w:val="28"/>
          <w:szCs w:val="28"/>
          <w:lang w:val="en-US" w:eastAsia="zh-CN"/>
        </w:rPr>
      </w:pPr>
      <w:r>
        <w:rPr>
          <w:rFonts w:hint="eastAsia"/>
          <w:sz w:val="28"/>
          <w:szCs w:val="28"/>
          <w:lang w:val="en-US" w:eastAsia="zh-CN"/>
        </w:rPr>
        <w:t>质量控制：为保证样品检测分析结果的精密度和准确度，第三方实验室采取的质量保证与质量控制措施包括：分析数据的追溯文件体系、样品保存运输条件保证、内部空白检验、平行样相对偏差分析、基体加标检验，相关分析数据的准确度和精密度需满足以下要求：</w:t>
      </w:r>
    </w:p>
    <w:p>
      <w:pPr>
        <w:numPr>
          <w:numId w:val="0"/>
        </w:numPr>
        <w:jc w:val="left"/>
        <w:rPr>
          <w:rFonts w:hint="eastAsia"/>
          <w:sz w:val="28"/>
          <w:szCs w:val="28"/>
          <w:lang w:val="en-US" w:eastAsia="zh-CN"/>
        </w:rPr>
      </w:pPr>
      <w:r>
        <w:rPr>
          <w:rFonts w:hint="eastAsia"/>
          <w:sz w:val="28"/>
          <w:szCs w:val="28"/>
          <w:lang w:val="en-US" w:eastAsia="zh-CN"/>
        </w:rPr>
        <w:t>①实验室从接样到出数据报告的整个过程严格执行《RB/T 214-2017 检验检测机构资质认定能力评价检验检测机构通用要求》和《检验检测机构资质认定生态环境检测机构评审补充要求》。</w:t>
      </w:r>
    </w:p>
    <w:p>
      <w:pPr>
        <w:numPr>
          <w:numId w:val="0"/>
        </w:numPr>
        <w:jc w:val="left"/>
        <w:rPr>
          <w:rFonts w:hint="eastAsia"/>
          <w:sz w:val="28"/>
          <w:szCs w:val="28"/>
          <w:lang w:val="en-US" w:eastAsia="zh-CN"/>
        </w:rPr>
      </w:pPr>
      <w:r>
        <w:rPr>
          <w:rFonts w:hint="eastAsia"/>
          <w:sz w:val="28"/>
          <w:szCs w:val="28"/>
          <w:lang w:val="en-US" w:eastAsia="zh-CN"/>
        </w:rPr>
        <w:t>②样品的保存时间、保存温度等实验室内部质量保证/控制措施均需有纸质记录并达到相关规定的要求。</w:t>
      </w:r>
    </w:p>
    <w:p>
      <w:pPr>
        <w:numPr>
          <w:numId w:val="0"/>
        </w:numPr>
        <w:jc w:val="left"/>
        <w:rPr>
          <w:rFonts w:hint="eastAsia"/>
          <w:sz w:val="28"/>
          <w:szCs w:val="28"/>
          <w:lang w:val="en-US" w:eastAsia="zh-CN"/>
        </w:rPr>
      </w:pPr>
      <w:r>
        <w:rPr>
          <w:rFonts w:hint="eastAsia"/>
          <w:sz w:val="28"/>
          <w:szCs w:val="28"/>
          <w:lang w:val="en-US" w:eastAsia="zh-CN"/>
        </w:rPr>
        <w:t>③基体加标。要求分析结果中实验室加标和基体加标的结果均在相应标准规定的范围内。</w:t>
      </w:r>
    </w:p>
    <w:p>
      <w:pPr>
        <w:numPr>
          <w:numId w:val="0"/>
        </w:numPr>
        <w:jc w:val="left"/>
        <w:rPr>
          <w:rFonts w:hint="eastAsia"/>
          <w:sz w:val="28"/>
          <w:szCs w:val="28"/>
          <w:lang w:val="en-US" w:eastAsia="zh-CN"/>
        </w:rPr>
      </w:pPr>
      <w:r>
        <w:rPr>
          <w:rFonts w:hint="eastAsia"/>
          <w:sz w:val="28"/>
          <w:szCs w:val="28"/>
          <w:lang w:val="en-US" w:eastAsia="zh-CN"/>
        </w:rPr>
        <w:t>④空白实验。每批次样品应至少做一个实验室空白，目标化合物应满足标准要求。</w:t>
      </w:r>
    </w:p>
    <w:p>
      <w:pPr>
        <w:numPr>
          <w:numId w:val="0"/>
        </w:numPr>
        <w:jc w:val="left"/>
        <w:rPr>
          <w:rFonts w:hint="eastAsia"/>
          <w:sz w:val="28"/>
          <w:szCs w:val="28"/>
          <w:lang w:val="en-US" w:eastAsia="zh-CN"/>
        </w:rPr>
      </w:pPr>
      <w:r>
        <w:rPr>
          <w:rFonts w:hint="eastAsia"/>
          <w:sz w:val="28"/>
          <w:szCs w:val="28"/>
          <w:lang w:val="en-US" w:eastAsia="zh-CN"/>
        </w:rPr>
        <w:t>⑤平行样测定。每批样品应进行不少于10%的平行样品测定，95%以上的平行样品测定结果相对偏差应在相应标准规定的范围内。</w:t>
      </w:r>
    </w:p>
    <w:p>
      <w:pPr>
        <w:numPr>
          <w:numId w:val="0"/>
        </w:numPr>
        <w:jc w:val="left"/>
        <w:rPr>
          <w:rFonts w:hint="eastAsia"/>
          <w:sz w:val="28"/>
          <w:szCs w:val="28"/>
          <w:lang w:val="en-US" w:eastAsia="zh-CN"/>
        </w:rPr>
      </w:pPr>
      <w:r>
        <w:rPr>
          <w:rFonts w:hint="eastAsia"/>
          <w:sz w:val="28"/>
          <w:szCs w:val="28"/>
          <w:lang w:val="en-US" w:eastAsia="zh-CN"/>
        </w:rPr>
        <w:t>⑥所有实验室仪器在受检期限内。</w:t>
      </w:r>
    </w:p>
    <w:p>
      <w:pPr>
        <w:numPr>
          <w:numId w:val="0"/>
        </w:numPr>
        <w:jc w:val="left"/>
        <w:rPr>
          <w:rFonts w:hint="default"/>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Style w:val="5"/>
        <w:rFonts w:hint="eastAsia" w:ascii="宋体" w:hAnsi="宋体"/>
        <w:sz w:val="20"/>
      </w:rPr>
      <w:t xml:space="preserve">  </w:t>
    </w:r>
    <w:r>
      <w:rPr>
        <w:rFonts w:ascii="宋体" w:hAnsi="宋体"/>
        <w:sz w:val="26"/>
        <w:szCs w:val="26"/>
      </w:rPr>
      <w:fldChar w:fldCharType="begin"/>
    </w:r>
    <w:r>
      <w:rPr>
        <w:rStyle w:val="5"/>
        <w:rFonts w:ascii="宋体" w:hAnsi="宋体"/>
        <w:sz w:val="26"/>
        <w:szCs w:val="26"/>
      </w:rPr>
      <w:instrText xml:space="preserve">PAGE  </w:instrText>
    </w:r>
    <w:r>
      <w:rPr>
        <w:rFonts w:ascii="宋体" w:hAnsi="宋体"/>
        <w:sz w:val="26"/>
        <w:szCs w:val="26"/>
      </w:rPr>
      <w:fldChar w:fldCharType="separate"/>
    </w:r>
    <w:r>
      <w:rPr>
        <w:rStyle w:val="5"/>
        <w:rFonts w:ascii="宋体" w:hAnsi="宋体"/>
        <w:sz w:val="26"/>
        <w:szCs w:val="26"/>
      </w:rPr>
      <w:t>3</w:t>
    </w:r>
    <w:r>
      <w:rPr>
        <w:rFonts w:ascii="宋体" w:hAnsi="宋体"/>
        <w:sz w:val="26"/>
        <w:szCs w:val="26"/>
      </w:rPr>
      <w:fldChar w:fldCharType="end"/>
    </w:r>
    <w:r>
      <w:rPr>
        <w:rStyle w:val="5"/>
        <w:rFonts w:hint="eastAsia" w:ascii="宋体" w:hAnsi="宋体"/>
        <w:sz w:val="20"/>
      </w:rPr>
      <w:t xml:space="preserve">  </w:t>
    </w:r>
    <w:r>
      <w:rPr>
        <w:rStyle w:val="5"/>
        <w:rFonts w:hint="eastAsia" w:ascii="宋体" w:hAnsi="宋体"/>
        <w:sz w:val="28"/>
        <w:szCs w:val="28"/>
      </w:rPr>
      <w:t>—</w:t>
    </w:r>
  </w:p>
  <w:p>
    <w:pPr>
      <w:pStyle w:val="2"/>
      <w:ind w:right="360" w:firstLine="360"/>
      <w:jc w:val="right"/>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549152"/>
    <w:multiLevelType w:val="singleLevel"/>
    <w:tmpl w:val="F6549152"/>
    <w:lvl w:ilvl="0" w:tentative="0">
      <w:start w:val="1"/>
      <w:numFmt w:val="chineseCounting"/>
      <w:suff w:val="nothing"/>
      <w:lvlText w:val="%1、"/>
      <w:lvlJc w:val="left"/>
      <w:rPr>
        <w:rFonts w:hint="eastAsia"/>
      </w:rPr>
    </w:lvl>
  </w:abstractNum>
  <w:abstractNum w:abstractNumId="1">
    <w:nsid w:val="0E11B774"/>
    <w:multiLevelType w:val="singleLevel"/>
    <w:tmpl w:val="0E11B77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MzFjZGFjNWIyYWE1MTRkNzFkMmNjOWEwZjMxYTcifQ=="/>
  </w:docVars>
  <w:rsids>
    <w:rsidRoot w:val="00000000"/>
    <w:rsid w:val="20BD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rFonts w:ascii="Times New Roman" w:hAnsi="Times New Roman"/>
      <w:kern w:val="0"/>
      <w:sz w:val="18"/>
    </w:rPr>
  </w:style>
  <w:style w:type="character" w:styleId="5">
    <w:name w:val="page number"/>
    <w:qFormat/>
    <w:uiPriority w:val="0"/>
  </w:style>
  <w:style w:type="paragraph" w:customStyle="1" w:styleId="6">
    <w:name w:val="正文_27"/>
    <w:qFormat/>
    <w:uiPriority w:val="0"/>
    <w:pPr>
      <w:widowControl w:val="0"/>
      <w:jc w:val="both"/>
    </w:pPr>
    <w:rPr>
      <w:rFonts w:ascii="Calibri" w:hAnsi="Calibri" w:eastAsia="宋体" w:cs="Times New Roman"/>
      <w:kern w:val="2"/>
      <w:sz w:val="21"/>
      <w:lang w:val="en-US" w:eastAsia="zh-CN" w:bidi="ar-SA"/>
    </w:rPr>
  </w:style>
  <w:style w:type="paragraph" w:customStyle="1" w:styleId="7">
    <w:name w:val="正文_1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2023-10-18T00:56:22Z</dcterms:created>
  <dc:creator>Administrator.YQHX-DIAOXINDON</dc:creator>
  <cp:lastModifiedBy>小新</cp:lastModifiedBy>
  <dcterms:modified xsi:type="dcterms:W3CDTF">2023-10-18T02:12:03Z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9F234475D04D4F649A01884DA46DA066_12</vt:lpwstr>
  </property>
</Properties>
</file>