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sz w:val="32"/>
          <w:szCs w:val="30"/>
          <w:highlight w:val="none"/>
        </w:rPr>
      </w:pPr>
      <w:r>
        <w:rPr>
          <w:rFonts w:hint="eastAsia" w:ascii="黑体" w:hAnsi="黑体" w:eastAsia="黑体"/>
          <w:sz w:val="32"/>
          <w:szCs w:val="30"/>
          <w:highlight w:val="none"/>
        </w:rPr>
        <w:t>清远市横荷污水处理厂排污许可</w:t>
      </w:r>
      <w:r>
        <w:rPr>
          <w:rFonts w:ascii="黑体" w:hAnsi="黑体" w:eastAsia="黑体"/>
          <w:sz w:val="32"/>
          <w:szCs w:val="30"/>
          <w:highlight w:val="none"/>
        </w:rPr>
        <w:t>自行监测方案</w:t>
      </w:r>
    </w:p>
    <w:p>
      <w:pPr>
        <w:spacing w:line="360" w:lineRule="auto"/>
        <w:rPr>
          <w:rFonts w:ascii="黑体" w:hAnsi="黑体" w:eastAsia="黑体"/>
          <w:sz w:val="28"/>
          <w:highlight w:val="none"/>
        </w:rPr>
      </w:pPr>
      <w:r>
        <w:rPr>
          <w:rFonts w:hint="eastAsia" w:ascii="黑体" w:hAnsi="黑体" w:eastAsia="黑体"/>
          <w:sz w:val="28"/>
          <w:highlight w:val="none"/>
        </w:rPr>
        <w:t>一</w:t>
      </w:r>
      <w:r>
        <w:rPr>
          <w:rFonts w:ascii="黑体" w:hAnsi="黑体" w:eastAsia="黑体"/>
          <w:sz w:val="28"/>
          <w:highlight w:val="none"/>
        </w:rPr>
        <w:t>、企业基本情况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清远市横荷污水处理厂位于清远市横荷打古村委会、广清高速公路西侧，于2011年开始建设，2014年投产。厂区废水设计处理能力为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80000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m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vertAlign w:val="superscript"/>
        </w:rPr>
        <w:t>3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/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d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，采用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“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粗格栅-提升泵房-细格栅-沉砂池-A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vertAlign w:val="superscript"/>
        </w:rPr>
        <w:t>2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/O生化池-二沉池-高效沉淀池-纤维转盘滤池-紫外消毒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”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工艺。</w:t>
      </w:r>
    </w:p>
    <w:p>
      <w:pPr>
        <w:spacing w:line="360" w:lineRule="auto"/>
        <w:rPr>
          <w:rFonts w:ascii="黑体" w:hAnsi="黑体" w:eastAsia="黑体"/>
          <w:sz w:val="28"/>
          <w:highlight w:val="none"/>
        </w:rPr>
      </w:pPr>
      <w:r>
        <w:rPr>
          <w:rFonts w:hint="eastAsia" w:ascii="黑体" w:hAnsi="黑体" w:eastAsia="黑体"/>
          <w:sz w:val="28"/>
          <w:highlight w:val="none"/>
        </w:rPr>
        <w:t>二</w:t>
      </w:r>
      <w:r>
        <w:rPr>
          <w:rFonts w:ascii="黑体" w:hAnsi="黑体" w:eastAsia="黑体"/>
          <w:sz w:val="28"/>
          <w:highlight w:val="none"/>
        </w:rPr>
        <w:t>、</w:t>
      </w:r>
      <w:r>
        <w:rPr>
          <w:rFonts w:hint="eastAsia" w:ascii="黑体" w:hAnsi="黑体" w:eastAsia="黑体"/>
          <w:sz w:val="28"/>
          <w:highlight w:val="none"/>
        </w:rPr>
        <w:t>执行排放标准及</w:t>
      </w:r>
      <w:r>
        <w:rPr>
          <w:rFonts w:ascii="黑体" w:hAnsi="黑体" w:eastAsia="黑体"/>
          <w:sz w:val="28"/>
          <w:highlight w:val="none"/>
        </w:rPr>
        <w:t>限值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（一）废水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我厂运营期废水排放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执行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广东省地方标准《水污染物排放限值》（DB44/26-2001）与《城镇污水处理厂污染物排放标准》（GB18918-2002）中的一级A标准较严者，详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表1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。</w:t>
      </w:r>
    </w:p>
    <w:p>
      <w:pPr>
        <w:spacing w:line="360" w:lineRule="auto"/>
        <w:ind w:firstLine="422" w:firstLineChars="200"/>
        <w:jc w:val="center"/>
        <w:rPr>
          <w:rFonts w:ascii="Times New Roman" w:hAnsi="Times New Roman" w:eastAsia="宋体" w:cs="Times New Roman"/>
          <w:b/>
          <w:szCs w:val="30"/>
          <w:highlight w:val="none"/>
        </w:rPr>
      </w:pPr>
      <w:r>
        <w:rPr>
          <w:rFonts w:ascii="Times New Roman" w:hAnsi="Times New Roman" w:eastAsia="宋体" w:cs="Times New Roman"/>
          <w:b/>
          <w:szCs w:val="30"/>
          <w:highlight w:val="none"/>
        </w:rPr>
        <w:t>表1  水污染物排放浓度限值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127"/>
        <w:gridCol w:w="3117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  <w:t>序号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  <w:t>污染物</w:t>
            </w:r>
          </w:p>
        </w:tc>
        <w:tc>
          <w:tcPr>
            <w:tcW w:w="31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  <w:t>限值（mg/L，PH值除外）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  <w:t>污染物排放位置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1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pH值</w:t>
            </w:r>
          </w:p>
        </w:tc>
        <w:tc>
          <w:tcPr>
            <w:tcW w:w="31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highlight w:val="none"/>
              </w:rPr>
              <w:t>6~9</w:t>
            </w:r>
          </w:p>
        </w:tc>
        <w:tc>
          <w:tcPr>
            <w:tcW w:w="217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总排放口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2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悬浮物</w:t>
            </w:r>
          </w:p>
        </w:tc>
        <w:tc>
          <w:tcPr>
            <w:tcW w:w="31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highlight w:val="none"/>
              </w:rPr>
              <w:t>≤10</w:t>
            </w:r>
          </w:p>
        </w:tc>
        <w:tc>
          <w:tcPr>
            <w:tcW w:w="217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3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色度</w:t>
            </w:r>
          </w:p>
        </w:tc>
        <w:tc>
          <w:tcPr>
            <w:tcW w:w="31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highlight w:val="none"/>
              </w:rPr>
              <w:t>≤30</w:t>
            </w:r>
          </w:p>
        </w:tc>
        <w:tc>
          <w:tcPr>
            <w:tcW w:w="217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4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化学需氧量</w:t>
            </w:r>
          </w:p>
        </w:tc>
        <w:tc>
          <w:tcPr>
            <w:tcW w:w="31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highlight w:val="none"/>
              </w:rPr>
              <w:t>40</w:t>
            </w:r>
          </w:p>
        </w:tc>
        <w:tc>
          <w:tcPr>
            <w:tcW w:w="217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5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氨氮（以N计）</w:t>
            </w:r>
          </w:p>
        </w:tc>
        <w:tc>
          <w:tcPr>
            <w:tcW w:w="311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217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6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总磷</w:t>
            </w:r>
          </w:p>
        </w:tc>
        <w:tc>
          <w:tcPr>
            <w:tcW w:w="311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highlight w:val="none"/>
              </w:rPr>
              <w:t>0.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217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7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总氮（以N计）</w:t>
            </w:r>
          </w:p>
        </w:tc>
        <w:tc>
          <w:tcPr>
            <w:tcW w:w="31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highlight w:val="none"/>
              </w:rPr>
              <w:t>≤15</w:t>
            </w:r>
          </w:p>
        </w:tc>
        <w:tc>
          <w:tcPr>
            <w:tcW w:w="217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8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五日生化需氧量</w:t>
            </w:r>
          </w:p>
        </w:tc>
        <w:tc>
          <w:tcPr>
            <w:tcW w:w="31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highlight w:val="none"/>
              </w:rPr>
              <w:t>10</w:t>
            </w:r>
          </w:p>
        </w:tc>
        <w:tc>
          <w:tcPr>
            <w:tcW w:w="217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9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动植物油</w:t>
            </w:r>
          </w:p>
        </w:tc>
        <w:tc>
          <w:tcPr>
            <w:tcW w:w="31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highlight w:val="none"/>
              </w:rPr>
              <w:t>≤1</w:t>
            </w:r>
          </w:p>
        </w:tc>
        <w:tc>
          <w:tcPr>
            <w:tcW w:w="217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10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石油类</w:t>
            </w:r>
          </w:p>
        </w:tc>
        <w:tc>
          <w:tcPr>
            <w:tcW w:w="31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highlight w:val="none"/>
              </w:rPr>
              <w:t>1</w:t>
            </w:r>
          </w:p>
        </w:tc>
        <w:tc>
          <w:tcPr>
            <w:tcW w:w="217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11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阴离子表面活性剂</w:t>
            </w:r>
          </w:p>
        </w:tc>
        <w:tc>
          <w:tcPr>
            <w:tcW w:w="311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highlight w:val="none"/>
              </w:rPr>
              <w:t>0.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217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12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粪大肠菌群数</w:t>
            </w:r>
          </w:p>
        </w:tc>
        <w:tc>
          <w:tcPr>
            <w:tcW w:w="31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highlight w:val="none"/>
              </w:rPr>
              <w:t>1000</w:t>
            </w:r>
          </w:p>
        </w:tc>
        <w:tc>
          <w:tcPr>
            <w:tcW w:w="217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13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总镉</w:t>
            </w:r>
          </w:p>
        </w:tc>
        <w:tc>
          <w:tcPr>
            <w:tcW w:w="31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highlight w:val="none"/>
              </w:rPr>
              <w:t>0.01</w:t>
            </w:r>
          </w:p>
        </w:tc>
        <w:tc>
          <w:tcPr>
            <w:tcW w:w="217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14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总铬</w:t>
            </w:r>
          </w:p>
        </w:tc>
        <w:tc>
          <w:tcPr>
            <w:tcW w:w="31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highlight w:val="none"/>
              </w:rPr>
              <w:t>0.1</w:t>
            </w:r>
          </w:p>
        </w:tc>
        <w:tc>
          <w:tcPr>
            <w:tcW w:w="217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15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总汞</w:t>
            </w:r>
          </w:p>
        </w:tc>
        <w:tc>
          <w:tcPr>
            <w:tcW w:w="31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highlight w:val="none"/>
              </w:rPr>
              <w:t>0.001</w:t>
            </w:r>
          </w:p>
        </w:tc>
        <w:tc>
          <w:tcPr>
            <w:tcW w:w="217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16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总铅</w:t>
            </w:r>
          </w:p>
        </w:tc>
        <w:tc>
          <w:tcPr>
            <w:tcW w:w="31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highlight w:val="none"/>
              </w:rPr>
              <w:t>0.1</w:t>
            </w:r>
          </w:p>
        </w:tc>
        <w:tc>
          <w:tcPr>
            <w:tcW w:w="217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17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总砷</w:t>
            </w:r>
          </w:p>
        </w:tc>
        <w:tc>
          <w:tcPr>
            <w:tcW w:w="31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highlight w:val="none"/>
              </w:rPr>
              <w:t>0.1</w:t>
            </w:r>
          </w:p>
        </w:tc>
        <w:tc>
          <w:tcPr>
            <w:tcW w:w="217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18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烷基汞</w:t>
            </w:r>
          </w:p>
        </w:tc>
        <w:tc>
          <w:tcPr>
            <w:tcW w:w="31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highlight w:val="none"/>
              </w:rPr>
              <w:t>不得检出</w:t>
            </w:r>
          </w:p>
        </w:tc>
        <w:tc>
          <w:tcPr>
            <w:tcW w:w="217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19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六价铬</w:t>
            </w:r>
          </w:p>
        </w:tc>
        <w:tc>
          <w:tcPr>
            <w:tcW w:w="31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highlight w:val="none"/>
              </w:rPr>
              <w:t>0.05</w:t>
            </w:r>
          </w:p>
        </w:tc>
        <w:tc>
          <w:tcPr>
            <w:tcW w:w="217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eastAsia="zh-CN"/>
              </w:rPr>
              <w:t>流量</w:t>
            </w:r>
          </w:p>
        </w:tc>
        <w:tc>
          <w:tcPr>
            <w:tcW w:w="311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217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21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eastAsia="zh-CN"/>
              </w:rPr>
              <w:t>水温</w:t>
            </w:r>
          </w:p>
        </w:tc>
        <w:tc>
          <w:tcPr>
            <w:tcW w:w="311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217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22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总锌</w:t>
            </w:r>
          </w:p>
        </w:tc>
        <w:tc>
          <w:tcPr>
            <w:tcW w:w="31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17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23</w:t>
            </w: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总氰化物</w:t>
            </w:r>
          </w:p>
        </w:tc>
        <w:tc>
          <w:tcPr>
            <w:tcW w:w="31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highlight w:val="none"/>
                <w:lang w:val="en-US" w:eastAsia="zh-CN"/>
              </w:rPr>
              <w:t>0.5</w:t>
            </w:r>
          </w:p>
        </w:tc>
        <w:tc>
          <w:tcPr>
            <w:tcW w:w="217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</w:tr>
    </w:tbl>
    <w:p>
      <w:pPr>
        <w:spacing w:line="360" w:lineRule="auto"/>
        <w:rPr>
          <w:highlight w:val="none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  <w:highlight w:val="none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（二）雨水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雨水排放执行《水污染物排放限值》（D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B44/26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-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2001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）中的第二时段一级标准，详见表2。</w:t>
      </w:r>
    </w:p>
    <w:p>
      <w:pPr>
        <w:spacing w:line="360" w:lineRule="auto"/>
        <w:ind w:firstLine="422" w:firstLineChars="200"/>
        <w:jc w:val="center"/>
        <w:rPr>
          <w:rFonts w:ascii="Times New Roman" w:hAnsi="Times New Roman" w:eastAsia="宋体" w:cs="Times New Roman"/>
          <w:b/>
          <w:szCs w:val="30"/>
          <w:highlight w:val="none"/>
        </w:rPr>
      </w:pPr>
      <w:r>
        <w:rPr>
          <w:rFonts w:ascii="Times New Roman" w:hAnsi="Times New Roman" w:eastAsia="宋体" w:cs="Times New Roman"/>
          <w:b/>
          <w:szCs w:val="30"/>
          <w:highlight w:val="none"/>
        </w:rPr>
        <w:t xml:space="preserve">表2  </w:t>
      </w:r>
      <w:r>
        <w:rPr>
          <w:rFonts w:hint="eastAsia" w:ascii="Times New Roman" w:hAnsi="Times New Roman" w:eastAsia="宋体" w:cs="Times New Roman"/>
          <w:b/>
          <w:szCs w:val="30"/>
          <w:highlight w:val="none"/>
        </w:rPr>
        <w:t>雨水</w:t>
      </w:r>
      <w:r>
        <w:rPr>
          <w:rFonts w:ascii="Times New Roman" w:hAnsi="Times New Roman" w:eastAsia="宋体" w:cs="Times New Roman"/>
          <w:b/>
          <w:szCs w:val="30"/>
          <w:highlight w:val="none"/>
        </w:rPr>
        <w:t>排放浓度限值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127"/>
        <w:gridCol w:w="3117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  <w:t>序号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  <w:t>污染物</w:t>
            </w:r>
          </w:p>
        </w:tc>
        <w:tc>
          <w:tcPr>
            <w:tcW w:w="31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  <w:t>限值（mg/L，PH值除外）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  <w:t>排放位置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1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pH值</w:t>
            </w:r>
          </w:p>
        </w:tc>
        <w:tc>
          <w:tcPr>
            <w:tcW w:w="31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highlight w:val="none"/>
              </w:rPr>
              <w:t>6~9</w:t>
            </w:r>
          </w:p>
        </w:tc>
        <w:tc>
          <w:tcPr>
            <w:tcW w:w="217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雨水排放口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2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化学需氧量</w:t>
            </w:r>
          </w:p>
        </w:tc>
        <w:tc>
          <w:tcPr>
            <w:tcW w:w="31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highlight w:val="none"/>
              </w:rPr>
              <w:t>40</w:t>
            </w:r>
          </w:p>
        </w:tc>
        <w:tc>
          <w:tcPr>
            <w:tcW w:w="217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3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氨氮（以N计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  <w:t>）</w:t>
            </w:r>
          </w:p>
        </w:tc>
        <w:tc>
          <w:tcPr>
            <w:tcW w:w="31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highlight w:val="none"/>
              </w:rPr>
              <w:t>10</w:t>
            </w:r>
          </w:p>
        </w:tc>
        <w:tc>
          <w:tcPr>
            <w:tcW w:w="217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4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悬浮物</w:t>
            </w:r>
          </w:p>
        </w:tc>
        <w:tc>
          <w:tcPr>
            <w:tcW w:w="31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highlight w:val="none"/>
              </w:rPr>
              <w:t>20</w:t>
            </w:r>
          </w:p>
        </w:tc>
        <w:tc>
          <w:tcPr>
            <w:tcW w:w="217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</w:tr>
    </w:tbl>
    <w:p>
      <w:pPr>
        <w:spacing w:line="360" w:lineRule="auto"/>
        <w:rPr>
          <w:highlight w:val="none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（三）废气（无组织）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废气无组织排放执行《城镇污水处理厂污染物排放标准》（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GB18918- 2002）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中的表5标准，详见表3。</w:t>
      </w:r>
    </w:p>
    <w:p>
      <w:pPr>
        <w:spacing w:line="360" w:lineRule="auto"/>
        <w:ind w:firstLine="422" w:firstLineChars="200"/>
        <w:jc w:val="center"/>
        <w:rPr>
          <w:rFonts w:ascii="Times New Roman" w:hAnsi="Times New Roman" w:eastAsia="宋体" w:cs="Times New Roman"/>
          <w:b/>
          <w:szCs w:val="30"/>
          <w:highlight w:val="none"/>
        </w:rPr>
      </w:pPr>
      <w:r>
        <w:rPr>
          <w:rFonts w:ascii="Times New Roman" w:hAnsi="Times New Roman" w:eastAsia="宋体" w:cs="Times New Roman"/>
          <w:b/>
          <w:szCs w:val="30"/>
          <w:highlight w:val="none"/>
        </w:rPr>
        <w:t xml:space="preserve">表3  </w:t>
      </w:r>
      <w:r>
        <w:rPr>
          <w:rFonts w:hint="eastAsia" w:ascii="Times New Roman" w:hAnsi="Times New Roman" w:eastAsia="宋体" w:cs="Times New Roman"/>
          <w:b/>
          <w:szCs w:val="30"/>
          <w:highlight w:val="none"/>
        </w:rPr>
        <w:t>厂界（防护带边缘）废气排放最高允许浓度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2835"/>
        <w:gridCol w:w="2408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highlight w:val="none"/>
              </w:rPr>
              <w:t>控制项目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highlight w:val="none"/>
              </w:rPr>
              <w:t>二级标准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  <w:highlight w:val="none"/>
              </w:rPr>
              <w:t>排放位置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  <w:t>氨（mg</w:t>
            </w: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/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  <w:t>m</w:t>
            </w:r>
            <w:r>
              <w:rPr>
                <w:rFonts w:ascii="Times New Roman" w:hAnsi="Times New Roman" w:eastAsia="宋体" w:cs="Times New Roman"/>
                <w:szCs w:val="21"/>
                <w:highlight w:val="none"/>
                <w:vertAlign w:val="superscript"/>
              </w:rPr>
              <w:t>3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  <w:t>）</w:t>
            </w:r>
          </w:p>
        </w:tc>
        <w:tc>
          <w:tcPr>
            <w:tcW w:w="240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highlight w:val="none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highlight w:val="none"/>
              </w:rPr>
              <w:t>.5</w:t>
            </w:r>
          </w:p>
        </w:tc>
        <w:tc>
          <w:tcPr>
            <w:tcW w:w="217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  <w:t>厂界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  <w:t>硫化氢（mg</w:t>
            </w: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/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  <w:t>m</w:t>
            </w:r>
            <w:r>
              <w:rPr>
                <w:rFonts w:ascii="Times New Roman" w:hAnsi="Times New Roman" w:eastAsia="宋体" w:cs="Times New Roman"/>
                <w:szCs w:val="21"/>
                <w:highlight w:val="none"/>
                <w:vertAlign w:val="superscript"/>
              </w:rPr>
              <w:t>3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  <w:t>）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highlight w:val="none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highlight w:val="none"/>
              </w:rPr>
              <w:t>.06</w:t>
            </w:r>
          </w:p>
        </w:tc>
        <w:tc>
          <w:tcPr>
            <w:tcW w:w="217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  <w:t>臭气浓度（无量纲）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highlight w:val="none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highlight w:val="none"/>
              </w:rPr>
              <w:t>0</w:t>
            </w:r>
          </w:p>
        </w:tc>
        <w:tc>
          <w:tcPr>
            <w:tcW w:w="217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  <w:t>甲烷（%）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highlight w:val="none"/>
              </w:rPr>
              <w:t>1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  <w:t>厂区最高体积分数</w:t>
            </w:r>
          </w:p>
        </w:tc>
      </w:tr>
    </w:tbl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</w:p>
    <w:p>
      <w:pPr>
        <w:spacing w:line="360" w:lineRule="auto"/>
        <w:rPr>
          <w:rFonts w:ascii="黑体" w:hAnsi="黑体" w:eastAsia="黑体"/>
          <w:sz w:val="28"/>
          <w:highlight w:val="none"/>
        </w:rPr>
      </w:pPr>
      <w:r>
        <w:rPr>
          <w:rFonts w:hint="eastAsia" w:ascii="黑体" w:hAnsi="黑体" w:eastAsia="黑体"/>
          <w:sz w:val="28"/>
          <w:highlight w:val="none"/>
        </w:rPr>
        <w:t>三</w:t>
      </w:r>
      <w:r>
        <w:rPr>
          <w:rFonts w:ascii="黑体" w:hAnsi="黑体" w:eastAsia="黑体"/>
          <w:sz w:val="28"/>
          <w:highlight w:val="none"/>
        </w:rPr>
        <w:t>、</w:t>
      </w:r>
      <w:r>
        <w:rPr>
          <w:rFonts w:hint="eastAsia" w:ascii="黑体" w:hAnsi="黑体" w:eastAsia="黑体"/>
          <w:sz w:val="28"/>
          <w:highlight w:val="none"/>
        </w:rPr>
        <w:t>监测指标及</w:t>
      </w:r>
      <w:r>
        <w:rPr>
          <w:rFonts w:ascii="黑体" w:hAnsi="黑体" w:eastAsia="黑体"/>
          <w:sz w:val="28"/>
          <w:highlight w:val="none"/>
        </w:rPr>
        <w:t>频次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（一）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废水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根据《排污许可证申请与核发技术规范 水处理（试行）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，确定城镇污水处理厂进水和出水监测点位、指标及频次，分别见表4、表5。</w:t>
      </w:r>
    </w:p>
    <w:p>
      <w:pPr>
        <w:spacing w:line="360" w:lineRule="auto"/>
        <w:jc w:val="center"/>
        <w:rPr>
          <w:rFonts w:hint="eastAsia" w:ascii="Times New Roman" w:hAnsi="Times New Roman" w:eastAsia="宋体" w:cs="Times New Roman"/>
          <w:b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/>
          <w:szCs w:val="24"/>
          <w:highlight w:val="none"/>
        </w:rPr>
        <w:t>表4</w:t>
      </w:r>
      <w:r>
        <w:rPr>
          <w:rFonts w:ascii="Times New Roman" w:hAnsi="Times New Roman" w:eastAsia="宋体" w:cs="Times New Roman"/>
          <w:b/>
          <w:szCs w:val="24"/>
          <w:highlight w:val="none"/>
        </w:rPr>
        <w:t xml:space="preserve">  </w:t>
      </w:r>
      <w:r>
        <w:rPr>
          <w:rFonts w:hint="eastAsia" w:ascii="Times New Roman" w:hAnsi="Times New Roman" w:eastAsia="宋体" w:cs="Times New Roman"/>
          <w:b/>
          <w:szCs w:val="24"/>
          <w:highlight w:val="none"/>
        </w:rPr>
        <w:t>进水监测指标及最低监测频次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highlight w:val="none"/>
              </w:rPr>
              <w:t>监测点位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highlight w:val="none"/>
              </w:rPr>
              <w:t>监测指标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highlight w:val="none"/>
              </w:rPr>
              <w:t>监测频次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highlight w:val="none"/>
              </w:rPr>
              <w:t>进水总管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highlight w:val="none"/>
              </w:rPr>
              <w:t>流量、化学需氧量、氨氮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highlight w:val="none"/>
              </w:rPr>
              <w:t>自动监测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highlight w:val="none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highlight w:val="none"/>
              </w:rPr>
              <w:t>总磷、总氮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highlight w:val="none"/>
              </w:rPr>
              <w:t>日</w:t>
            </w:r>
          </w:p>
        </w:tc>
      </w:tr>
    </w:tbl>
    <w:p>
      <w:pPr>
        <w:spacing w:line="360" w:lineRule="auto"/>
        <w:rPr>
          <w:rFonts w:ascii="Times New Roman" w:hAnsi="Times New Roman" w:eastAsia="宋体" w:cs="Times New Roman"/>
          <w:sz w:val="24"/>
          <w:szCs w:val="24"/>
          <w:highlight w:val="none"/>
        </w:rPr>
      </w:pP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  <w:highlight w:val="none"/>
        </w:rPr>
      </w:pPr>
    </w:p>
    <w:p>
      <w:pPr>
        <w:spacing w:line="360" w:lineRule="auto"/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</w:p>
    <w:p>
      <w:pPr>
        <w:spacing w:line="360" w:lineRule="auto"/>
        <w:jc w:val="center"/>
        <w:rPr>
          <w:rFonts w:hint="eastAsia" w:ascii="Times New Roman" w:hAnsi="Times New Roman" w:eastAsia="宋体" w:cs="Times New Roman"/>
          <w:b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/>
          <w:szCs w:val="24"/>
          <w:highlight w:val="none"/>
        </w:rPr>
        <w:t>表</w:t>
      </w:r>
      <w:r>
        <w:rPr>
          <w:rFonts w:ascii="Times New Roman" w:hAnsi="Times New Roman" w:eastAsia="宋体" w:cs="Times New Roman"/>
          <w:b/>
          <w:szCs w:val="24"/>
          <w:highlight w:val="none"/>
        </w:rPr>
        <w:t xml:space="preserve">5  </w:t>
      </w:r>
      <w:r>
        <w:rPr>
          <w:rFonts w:hint="eastAsia" w:ascii="Times New Roman" w:hAnsi="Times New Roman" w:eastAsia="宋体" w:cs="Times New Roman"/>
          <w:b/>
          <w:szCs w:val="24"/>
          <w:highlight w:val="none"/>
        </w:rPr>
        <w:t>出水监测指标及最低监测频次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573"/>
        <w:gridCol w:w="2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highlight w:val="none"/>
              </w:rPr>
              <w:t>监测点位</w:t>
            </w:r>
          </w:p>
        </w:tc>
        <w:tc>
          <w:tcPr>
            <w:tcW w:w="457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highlight w:val="none"/>
              </w:rPr>
              <w:t>监测指标</w:t>
            </w:r>
          </w:p>
        </w:tc>
        <w:tc>
          <w:tcPr>
            <w:tcW w:w="284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highlight w:val="none"/>
              </w:rPr>
              <w:t>监测频次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highlight w:val="none"/>
              </w:rPr>
            </w:pPr>
          </w:p>
        </w:tc>
        <w:tc>
          <w:tcPr>
            <w:tcW w:w="457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highlight w:val="none"/>
              </w:rPr>
            </w:pPr>
          </w:p>
        </w:tc>
        <w:tc>
          <w:tcPr>
            <w:tcW w:w="284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highlight w:val="none"/>
              </w:rPr>
              <w:t>处理量</w:t>
            </w:r>
            <w:r>
              <w:rPr>
                <w:rFonts w:hint="eastAsia" w:ascii="Times New Roman" w:hAnsi="Times New Roman" w:eastAsia="宋体" w:cs="Times New Roman"/>
                <w:b/>
                <w:highlight w:val="none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Times New Roman"/>
                <w:b/>
                <w:highlight w:val="none"/>
              </w:rPr>
              <w:t>万m</w:t>
            </w:r>
            <w:r>
              <w:rPr>
                <w:rFonts w:ascii="Times New Roman" w:hAnsi="Times New Roman" w:eastAsia="宋体" w:cs="Times New Roman"/>
                <w:b/>
                <w:highlight w:val="none"/>
                <w:vertAlign w:val="superscript"/>
              </w:rPr>
              <w:t>3</w:t>
            </w:r>
            <w:r>
              <w:rPr>
                <w:rFonts w:ascii="Times New Roman" w:hAnsi="Times New Roman" w:eastAsia="宋体" w:cs="Times New Roman"/>
                <w:b/>
                <w:highlight w:val="none"/>
              </w:rPr>
              <w:t>/d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highlight w:val="none"/>
              </w:rPr>
              <w:t>废水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highlight w:val="none"/>
              </w:rPr>
              <w:t>总排放口</w:t>
            </w:r>
          </w:p>
        </w:tc>
        <w:tc>
          <w:tcPr>
            <w:tcW w:w="45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highlight w:val="none"/>
              </w:rPr>
              <w:t>流量、p</w:t>
            </w:r>
            <w:r>
              <w:rPr>
                <w:rFonts w:ascii="Times New Roman" w:hAnsi="Times New Roman" w:eastAsia="宋体" w:cs="Times New Roman"/>
                <w:highlight w:val="none"/>
              </w:rPr>
              <w:t>H</w:t>
            </w:r>
            <w:r>
              <w:rPr>
                <w:rFonts w:hint="eastAsia" w:ascii="Times New Roman" w:hAnsi="Times New Roman" w:eastAsia="宋体" w:cs="Times New Roman"/>
                <w:highlight w:val="none"/>
              </w:rPr>
              <w:t>值、水温、化学需氧量、氨氮、总磷、总氮</w:t>
            </w:r>
          </w:p>
        </w:tc>
        <w:tc>
          <w:tcPr>
            <w:tcW w:w="284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highlight w:val="none"/>
                <w:lang w:eastAsia="zh-CN"/>
              </w:rPr>
              <w:t>自动监测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highlight w:val="none"/>
              </w:rPr>
            </w:pPr>
          </w:p>
        </w:tc>
        <w:tc>
          <w:tcPr>
            <w:tcW w:w="457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highlight w:val="none"/>
              </w:rPr>
              <w:t>悬浮物、色度、五日生化需氧量、动植物油、石油类、阴离子表面活性剂、粪大肠菌群</w:t>
            </w:r>
          </w:p>
        </w:tc>
        <w:tc>
          <w:tcPr>
            <w:tcW w:w="284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highlight w:val="none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highlight w:val="none"/>
              </w:rPr>
            </w:pPr>
          </w:p>
        </w:tc>
        <w:tc>
          <w:tcPr>
            <w:tcW w:w="457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highlight w:val="none"/>
              </w:rPr>
              <w:t>总镉、总铬、总汞、总铅、总砷、六价铬</w:t>
            </w:r>
          </w:p>
        </w:tc>
        <w:tc>
          <w:tcPr>
            <w:tcW w:w="284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highlight w:val="none"/>
              </w:rPr>
              <w:t>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highlight w:val="none"/>
              </w:rPr>
            </w:pPr>
          </w:p>
        </w:tc>
        <w:tc>
          <w:tcPr>
            <w:tcW w:w="45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highlight w:val="none"/>
              </w:rPr>
              <w:t>烷基汞</w:t>
            </w:r>
            <w:r>
              <w:rPr>
                <w:rFonts w:hint="eastAsia" w:ascii="Times New Roman" w:hAnsi="Times New Roman" w:eastAsia="宋体" w:cs="Times New Roman"/>
                <w:highlight w:val="none"/>
                <w:lang w:eastAsia="zh-CN"/>
              </w:rPr>
              <w:t>、总铜、总锌、</w:t>
            </w:r>
            <w:r>
              <w:rPr>
                <w:rFonts w:hint="eastAsia" w:ascii="Times New Roman" w:hAnsi="Times New Roman" w:eastAsia="宋体" w:cs="Times New Roman"/>
                <w:highlight w:val="none"/>
                <w:lang w:val="en-US" w:eastAsia="zh-CN"/>
              </w:rPr>
              <w:t>总氰化物</w:t>
            </w:r>
          </w:p>
        </w:tc>
        <w:tc>
          <w:tcPr>
            <w:tcW w:w="284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highlight w:val="none"/>
              </w:rPr>
              <w:t>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highlight w:val="none"/>
              </w:rPr>
              <w:t>雨水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highlight w:val="none"/>
              </w:rPr>
              <w:t>排放口</w:t>
            </w:r>
          </w:p>
        </w:tc>
        <w:tc>
          <w:tcPr>
            <w:tcW w:w="457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highlight w:val="none"/>
              </w:rPr>
              <w:t>p</w:t>
            </w:r>
            <w:r>
              <w:rPr>
                <w:rFonts w:ascii="Times New Roman" w:hAnsi="Times New Roman" w:eastAsia="宋体" w:cs="Times New Roman"/>
                <w:highlight w:val="none"/>
              </w:rPr>
              <w:t>H</w:t>
            </w:r>
            <w:r>
              <w:rPr>
                <w:rFonts w:hint="eastAsia" w:ascii="Times New Roman" w:hAnsi="Times New Roman" w:eastAsia="宋体" w:cs="Times New Roman"/>
                <w:highlight w:val="none"/>
              </w:rPr>
              <w:t>值、化学需氧量、氨氮、悬浮物</w:t>
            </w:r>
          </w:p>
        </w:tc>
        <w:tc>
          <w:tcPr>
            <w:tcW w:w="284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22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highlight w:val="none"/>
              </w:rPr>
              <w:t>总氮自动监测技术规范发布实施前，按日监测；</w:t>
            </w:r>
          </w:p>
          <w:p>
            <w:pPr>
              <w:rPr>
                <w:rFonts w:ascii="Times New Roman" w:hAnsi="Times New Roman" w:eastAsia="宋体" w:cs="Times New Roman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highlight w:val="none"/>
              </w:rPr>
              <w:t>其他污染物：纳入工业废水执行的排放标准中含有的其他污染物；</w:t>
            </w:r>
          </w:p>
          <w:p>
            <w:pPr>
              <w:rPr>
                <w:rFonts w:hint="eastAsia" w:ascii="Times New Roman" w:hAnsi="Times New Roman" w:eastAsia="宋体" w:cs="Times New Roman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highlight w:val="none"/>
              </w:rPr>
              <w:t>雨水排放口有流动排放时按日监测。若监测一年无异常情况，可放宽至每季度开展一次监测。</w:t>
            </w:r>
          </w:p>
        </w:tc>
      </w:tr>
    </w:tbl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  <w:highlight w:val="none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（二）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气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根据《排污许可证申请与核发技术规范 水处理（试行）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，确定城镇污水处理厂无组织废气排放监测点位、指标及频次，见表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6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。</w:t>
      </w:r>
    </w:p>
    <w:p>
      <w:pPr>
        <w:spacing w:line="360" w:lineRule="auto"/>
        <w:jc w:val="center"/>
        <w:rPr>
          <w:rFonts w:hint="eastAsia" w:ascii="Times New Roman" w:hAnsi="Times New Roman" w:eastAsia="宋体" w:cs="Times New Roman"/>
          <w:b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/>
          <w:szCs w:val="24"/>
          <w:highlight w:val="none"/>
        </w:rPr>
        <w:t>表4</w:t>
      </w:r>
      <w:r>
        <w:rPr>
          <w:rFonts w:ascii="Times New Roman" w:hAnsi="Times New Roman" w:eastAsia="宋体" w:cs="Times New Roman"/>
          <w:b/>
          <w:szCs w:val="24"/>
          <w:highlight w:val="none"/>
        </w:rPr>
        <w:t xml:space="preserve">  </w:t>
      </w:r>
      <w:r>
        <w:rPr>
          <w:rFonts w:hint="eastAsia" w:ascii="Times New Roman" w:hAnsi="Times New Roman" w:eastAsia="宋体" w:cs="Times New Roman"/>
          <w:b/>
          <w:szCs w:val="24"/>
          <w:highlight w:val="none"/>
          <w:lang w:eastAsia="zh-CN"/>
        </w:rPr>
        <w:t>无组织废气监</w:t>
      </w:r>
      <w:r>
        <w:rPr>
          <w:rFonts w:hint="eastAsia" w:ascii="Times New Roman" w:hAnsi="Times New Roman" w:eastAsia="宋体" w:cs="Times New Roman"/>
          <w:b/>
          <w:szCs w:val="24"/>
          <w:highlight w:val="none"/>
        </w:rPr>
        <w:t>测频次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highlight w:val="none"/>
              </w:rPr>
            </w:pPr>
            <w:r>
              <w:rPr>
                <w:rFonts w:ascii="Times New Roman" w:hAnsi="Times New Roman" w:eastAsia="宋体" w:cs="Times New Roman"/>
                <w:b/>
                <w:highlight w:val="none"/>
              </w:rPr>
              <w:t>监测点位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highlight w:val="none"/>
              </w:rPr>
              <w:t>监测指标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highlight w:val="none"/>
              </w:rPr>
              <w:t>监测频次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highlight w:val="none"/>
              </w:rPr>
              <w:t>厂界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highlight w:val="none"/>
              </w:rPr>
              <w:t>氨、硫化氢、臭气浓度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highlight w:val="none"/>
              </w:rPr>
              <w:t>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highlight w:val="none"/>
              </w:rPr>
              <w:t>厂区甲烷体积浓度最高处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highlight w:val="none"/>
              </w:rPr>
              <w:t>甲烷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highlight w:val="none"/>
              </w:rPr>
              <w:t>年</w:t>
            </w:r>
          </w:p>
        </w:tc>
      </w:tr>
    </w:tbl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  <w:highlight w:val="none"/>
        </w:rPr>
      </w:pPr>
    </w:p>
    <w:p>
      <w:pPr>
        <w:spacing w:line="360" w:lineRule="auto"/>
        <w:rPr>
          <w:rFonts w:ascii="黑体" w:hAnsi="黑体" w:eastAsia="黑体"/>
          <w:sz w:val="28"/>
          <w:highlight w:val="none"/>
        </w:rPr>
      </w:pPr>
      <w:r>
        <w:rPr>
          <w:rFonts w:hint="eastAsia" w:ascii="黑体" w:hAnsi="黑体" w:eastAsia="黑体"/>
          <w:sz w:val="28"/>
          <w:highlight w:val="none"/>
        </w:rPr>
        <w:t>四</w:t>
      </w:r>
      <w:r>
        <w:rPr>
          <w:rFonts w:ascii="黑体" w:hAnsi="黑体" w:eastAsia="黑体"/>
          <w:sz w:val="28"/>
          <w:highlight w:val="none"/>
        </w:rPr>
        <w:t>、</w:t>
      </w:r>
      <w:r>
        <w:rPr>
          <w:rFonts w:hint="eastAsia" w:ascii="黑体" w:hAnsi="黑体" w:eastAsia="黑体"/>
          <w:sz w:val="28"/>
          <w:highlight w:val="none"/>
        </w:rPr>
        <w:t>监测点位及</w:t>
      </w:r>
      <w:r>
        <w:rPr>
          <w:rFonts w:ascii="黑体" w:hAnsi="黑体" w:eastAsia="黑体"/>
          <w:sz w:val="28"/>
          <w:highlight w:val="none"/>
        </w:rPr>
        <w:t>示意图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</w:rPr>
        <w:t>我厂</w:t>
      </w:r>
      <w:r>
        <w:rPr>
          <w:rFonts w:ascii="Times New Roman" w:hAnsi="Times New Roman" w:eastAsia="宋体" w:cs="Times New Roman"/>
          <w:color w:val="auto"/>
          <w:sz w:val="24"/>
          <w:szCs w:val="24"/>
          <w:highlight w:val="none"/>
        </w:rPr>
        <w:t>废水、废气监测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</w:rPr>
        <w:t>点位示意</w:t>
      </w:r>
      <w:r>
        <w:rPr>
          <w:rFonts w:ascii="Times New Roman" w:hAnsi="Times New Roman" w:eastAsia="宋体" w:cs="Times New Roman"/>
          <w:color w:val="auto"/>
          <w:sz w:val="24"/>
          <w:szCs w:val="24"/>
          <w:highlight w:val="none"/>
        </w:rPr>
        <w:t>图见图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</w:rPr>
        <w:t>1。</w:t>
      </w:r>
    </w:p>
    <w:p>
      <w:pPr>
        <w:spacing w:line="360" w:lineRule="auto"/>
        <w:rPr>
          <w:rFonts w:ascii="Times New Roman" w:hAnsi="Times New Roman" w:eastAsia="宋体" w:cs="Times New Roman"/>
          <w:color w:val="FF0000"/>
          <w:sz w:val="24"/>
          <w:szCs w:val="24"/>
          <w:highlight w:val="none"/>
        </w:rPr>
      </w:pPr>
      <w:r>
        <w:drawing>
          <wp:inline distT="0" distB="0" distL="114300" distR="114300">
            <wp:extent cx="5273675" cy="6784975"/>
            <wp:effectExtent l="0" t="0" r="3175" b="158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78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color w:val="auto"/>
          <w:szCs w:val="21"/>
          <w:highlight w:val="none"/>
        </w:rPr>
      </w:pPr>
      <w:r>
        <w:rPr>
          <w:rFonts w:hint="eastAsia" w:ascii="Times New Roman" w:hAnsi="Times New Roman" w:eastAsia="宋体" w:cs="Times New Roman"/>
          <w:b/>
          <w:color w:val="auto"/>
          <w:szCs w:val="21"/>
          <w:highlight w:val="none"/>
        </w:rPr>
        <w:t>图1  监测</w:t>
      </w:r>
      <w:r>
        <w:rPr>
          <w:rFonts w:ascii="Times New Roman" w:hAnsi="Times New Roman" w:eastAsia="宋体" w:cs="Times New Roman"/>
          <w:b/>
          <w:color w:val="auto"/>
          <w:szCs w:val="21"/>
          <w:highlight w:val="none"/>
        </w:rPr>
        <w:t>点位</w:t>
      </w:r>
      <w:r>
        <w:rPr>
          <w:rFonts w:hint="eastAsia" w:ascii="Times New Roman" w:hAnsi="Times New Roman" w:eastAsia="宋体" w:cs="Times New Roman"/>
          <w:b/>
          <w:color w:val="auto"/>
          <w:szCs w:val="21"/>
          <w:highlight w:val="none"/>
        </w:rPr>
        <w:t>示意</w:t>
      </w:r>
      <w:r>
        <w:rPr>
          <w:rFonts w:ascii="Times New Roman" w:hAnsi="Times New Roman" w:eastAsia="宋体" w:cs="Times New Roman"/>
          <w:b/>
          <w:color w:val="auto"/>
          <w:szCs w:val="21"/>
          <w:highlight w:val="none"/>
        </w:rPr>
        <w:t>图</w:t>
      </w:r>
    </w:p>
    <w:p>
      <w:pPr>
        <w:spacing w:line="360" w:lineRule="auto"/>
        <w:rPr>
          <w:rFonts w:ascii="黑体" w:hAnsi="黑体" w:eastAsia="黑体"/>
          <w:sz w:val="28"/>
          <w:highlight w:val="none"/>
        </w:rPr>
      </w:pPr>
      <w:r>
        <w:rPr>
          <w:rFonts w:hint="eastAsia" w:ascii="黑体" w:hAnsi="黑体" w:eastAsia="黑体"/>
          <w:sz w:val="28"/>
          <w:highlight w:val="none"/>
        </w:rPr>
        <w:t>五</w:t>
      </w:r>
      <w:r>
        <w:rPr>
          <w:rFonts w:ascii="黑体" w:hAnsi="黑体" w:eastAsia="黑体"/>
          <w:sz w:val="28"/>
          <w:highlight w:val="none"/>
        </w:rPr>
        <w:t>、</w:t>
      </w:r>
      <w:r>
        <w:rPr>
          <w:rFonts w:hint="eastAsia" w:ascii="黑体" w:hAnsi="黑体" w:eastAsia="黑体"/>
          <w:sz w:val="28"/>
          <w:highlight w:val="none"/>
        </w:rPr>
        <w:t>采样及</w:t>
      </w:r>
      <w:r>
        <w:rPr>
          <w:rFonts w:ascii="黑体" w:hAnsi="黑体" w:eastAsia="黑体"/>
          <w:sz w:val="28"/>
          <w:highlight w:val="none"/>
        </w:rPr>
        <w:t>监测方法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废水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手工采样方法的选择参照相关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污染物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排放标准及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HJ/T91、HJ/T92、HJ493、HJ494、HJ495等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执行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；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污水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自动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监测采样方法参照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HJ/T353、HJ/T354、HJ/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T355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、HJ/T356执行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。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监测分析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方法参照国家相关标准。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废气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手工采样方法参照相关污染物排放标准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及GB/T16157、HJ/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T397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等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执行；废气自动监测参照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HJ/T75、HJ/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T76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执行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。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监测分析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方法参照国家相关标准。</w:t>
      </w:r>
    </w:p>
    <w:p>
      <w:pPr>
        <w:spacing w:line="360" w:lineRule="auto"/>
        <w:rPr>
          <w:rFonts w:hint="eastAsia" w:ascii="黑体" w:hAnsi="黑体" w:eastAsia="黑体"/>
          <w:sz w:val="28"/>
          <w:highlight w:val="none"/>
        </w:rPr>
      </w:pPr>
    </w:p>
    <w:p>
      <w:pPr>
        <w:spacing w:line="360" w:lineRule="auto"/>
        <w:rPr>
          <w:rFonts w:ascii="黑体" w:hAnsi="黑体" w:eastAsia="黑体"/>
          <w:sz w:val="28"/>
          <w:highlight w:val="none"/>
        </w:rPr>
      </w:pPr>
      <w:r>
        <w:rPr>
          <w:rFonts w:hint="eastAsia" w:ascii="黑体" w:hAnsi="黑体" w:eastAsia="黑体"/>
          <w:sz w:val="28"/>
          <w:highlight w:val="none"/>
        </w:rPr>
        <w:t>六</w:t>
      </w:r>
      <w:r>
        <w:rPr>
          <w:rFonts w:ascii="黑体" w:hAnsi="黑体" w:eastAsia="黑体"/>
          <w:sz w:val="28"/>
          <w:highlight w:val="none"/>
        </w:rPr>
        <w:t>、</w:t>
      </w:r>
      <w:r>
        <w:rPr>
          <w:rFonts w:hint="eastAsia" w:ascii="黑体" w:hAnsi="黑体" w:eastAsia="黑体"/>
          <w:sz w:val="28"/>
          <w:highlight w:val="none"/>
        </w:rPr>
        <w:t>监测</w:t>
      </w:r>
      <w:r>
        <w:rPr>
          <w:rFonts w:ascii="黑体" w:hAnsi="黑体" w:eastAsia="黑体"/>
          <w:sz w:val="28"/>
          <w:highlight w:val="none"/>
        </w:rPr>
        <w:t>质量</w:t>
      </w:r>
      <w:r>
        <w:rPr>
          <w:rFonts w:hint="eastAsia" w:ascii="黑体" w:hAnsi="黑体" w:eastAsia="黑体"/>
          <w:sz w:val="28"/>
          <w:highlight w:val="none"/>
        </w:rPr>
        <w:t>保证</w:t>
      </w:r>
      <w:r>
        <w:rPr>
          <w:rFonts w:ascii="黑体" w:hAnsi="黑体" w:eastAsia="黑体"/>
          <w:sz w:val="28"/>
          <w:highlight w:val="none"/>
        </w:rPr>
        <w:t>和</w:t>
      </w:r>
      <w:r>
        <w:rPr>
          <w:rFonts w:hint="eastAsia" w:ascii="黑体" w:hAnsi="黑体" w:eastAsia="黑体"/>
          <w:sz w:val="28"/>
          <w:highlight w:val="none"/>
        </w:rPr>
        <w:t>控制</w:t>
      </w:r>
      <w:r>
        <w:rPr>
          <w:rFonts w:ascii="黑体" w:hAnsi="黑体" w:eastAsia="黑体"/>
          <w:sz w:val="28"/>
          <w:highlight w:val="none"/>
        </w:rPr>
        <w:t>措施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  <w:highlight w:val="none"/>
        </w:rPr>
      </w:pPr>
      <w:r>
        <w:rPr>
          <w:rFonts w:ascii="Times New Roman" w:hAnsi="Times New Roman" w:eastAsia="宋体" w:cs="Times New Roman"/>
          <w:sz w:val="24"/>
          <w:szCs w:val="24"/>
          <w:highlight w:val="none"/>
        </w:rPr>
        <w:t>为保证监测分析结果的准确可靠性，监测质量保证和质量控制按照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《排污许可证申请与核发技术规范 水处理》（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HJ 978-2018）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、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排污单位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自行监测技术指南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总则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（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HJ819-2017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）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和《地表水和污水监测技术规范》（HJ/T 91-2002）、固定污染源监测质量保证与质量控制技术规范（试行）》（HJ/T 373-2007）等环境监测技术规范相关章节要求进行。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烟气采样仪、大气采样器在进入现场前对流量计进行校核。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监测仪器经计量部门检定合格并在有效期内使用，监测人员持证上岗，监测数据经三级审核。</w:t>
      </w:r>
    </w:p>
    <w:p>
      <w:pPr>
        <w:spacing w:line="360" w:lineRule="auto"/>
        <w:rPr>
          <w:rFonts w:ascii="黑体" w:hAnsi="黑体" w:eastAsia="黑体"/>
          <w:sz w:val="28"/>
          <w:highlight w:val="none"/>
        </w:rPr>
      </w:pPr>
      <w:r>
        <w:rPr>
          <w:rFonts w:hint="eastAsia" w:ascii="黑体" w:hAnsi="黑体" w:eastAsia="黑体"/>
          <w:sz w:val="28"/>
          <w:highlight w:val="none"/>
        </w:rPr>
        <w:t>七</w:t>
      </w:r>
      <w:r>
        <w:rPr>
          <w:rFonts w:ascii="黑体" w:hAnsi="黑体" w:eastAsia="黑体"/>
          <w:sz w:val="28"/>
          <w:highlight w:val="none"/>
        </w:rPr>
        <w:t>、</w:t>
      </w:r>
      <w:r>
        <w:rPr>
          <w:rFonts w:hint="eastAsia" w:ascii="黑体" w:hAnsi="黑体" w:eastAsia="黑体"/>
          <w:sz w:val="28"/>
          <w:highlight w:val="none"/>
        </w:rPr>
        <w:t>监测信息公开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自行监测信息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公开的内容及方式按照《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企业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事业单位环境信息公开办法》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（环境保护令第31号）及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国家重点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监控企业自行监测及信息公开办法（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试行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）》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（环发[2013]81号）执行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  <w:highlight w:val="none"/>
        </w:rPr>
      </w:pP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28"/>
          <w:highlight w:val="none"/>
        </w:rPr>
      </w:pP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  <w:highlight w:val="none"/>
        </w:rPr>
      </w:pP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  <w:highlight w:val="none"/>
        </w:rPr>
      </w:pPr>
    </w:p>
    <w:p>
      <w:pPr>
        <w:spacing w:line="360" w:lineRule="auto"/>
        <w:ind w:firstLine="560" w:firstLineChars="200"/>
        <w:rPr>
          <w:rFonts w:hint="eastAsia" w:ascii="Times New Roman" w:hAnsi="Times New Roman" w:eastAsia="宋体" w:cs="Times New Roman"/>
          <w:sz w:val="28"/>
          <w:szCs w:val="28"/>
          <w:highlight w:val="none"/>
        </w:rPr>
      </w:pP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  <w:highlight w:val="none"/>
        </w:rPr>
      </w:pPr>
    </w:p>
    <w:p>
      <w:pPr>
        <w:spacing w:line="360" w:lineRule="auto"/>
        <w:ind w:firstLine="480" w:firstLineChars="200"/>
        <w:jc w:val="right"/>
        <w:rPr>
          <w:rFonts w:ascii="Times New Roman" w:hAnsi="Times New Roman" w:eastAsia="黑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黑体" w:cs="Times New Roman"/>
          <w:sz w:val="24"/>
          <w:szCs w:val="24"/>
          <w:highlight w:val="none"/>
        </w:rPr>
        <w:t xml:space="preserve">清远市嘉清源环保水务有限公司 </w:t>
      </w:r>
    </w:p>
    <w:p>
      <w:pPr>
        <w:spacing w:line="360" w:lineRule="auto"/>
        <w:ind w:firstLine="480" w:firstLineChars="200"/>
        <w:jc w:val="right"/>
        <w:rPr>
          <w:rFonts w:ascii="Times New Roman" w:hAnsi="Times New Roman" w:eastAsia="黑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黑体" w:cs="Times New Roman"/>
          <w:sz w:val="24"/>
          <w:szCs w:val="24"/>
          <w:highlight w:val="none"/>
        </w:rPr>
        <w:t>20</w:t>
      </w:r>
      <w:r>
        <w:rPr>
          <w:rFonts w:hint="eastAsia" w:ascii="Times New Roman" w:hAnsi="Times New Roman" w:eastAsia="黑体" w:cs="Times New Roman"/>
          <w:sz w:val="24"/>
          <w:szCs w:val="24"/>
          <w:highlight w:val="none"/>
          <w:lang w:val="en-US" w:eastAsia="zh-CN"/>
        </w:rPr>
        <w:t>20</w:t>
      </w:r>
      <w:r>
        <w:rPr>
          <w:rFonts w:ascii="Times New Roman" w:hAnsi="Times New Roman" w:eastAsia="黑体" w:cs="Times New Roman"/>
          <w:sz w:val="24"/>
          <w:szCs w:val="24"/>
          <w:highlight w:val="none"/>
        </w:rPr>
        <w:t>年</w:t>
      </w:r>
      <w:r>
        <w:rPr>
          <w:rFonts w:hint="eastAsia" w:ascii="Times New Roman" w:hAnsi="Times New Roman" w:eastAsia="黑体" w:cs="Times New Roman"/>
          <w:sz w:val="24"/>
          <w:szCs w:val="24"/>
          <w:highlight w:val="none"/>
          <w:lang w:val="en-US" w:eastAsia="zh-CN"/>
        </w:rPr>
        <w:t>04</w:t>
      </w:r>
      <w:r>
        <w:rPr>
          <w:rFonts w:ascii="Times New Roman" w:hAnsi="Times New Roman" w:eastAsia="黑体" w:cs="Times New Roman"/>
          <w:sz w:val="24"/>
          <w:szCs w:val="24"/>
          <w:highlight w:val="none"/>
        </w:rPr>
        <w:t>月</w:t>
      </w:r>
      <w:r>
        <w:rPr>
          <w:rFonts w:hint="eastAsia" w:ascii="Times New Roman" w:hAnsi="Times New Roman" w:eastAsia="黑体" w:cs="Times New Roman"/>
          <w:sz w:val="24"/>
          <w:szCs w:val="24"/>
          <w:highlight w:val="none"/>
          <w:lang w:val="en-US" w:eastAsia="zh-CN"/>
        </w:rPr>
        <w:t>29</w:t>
      </w:r>
      <w:r>
        <w:rPr>
          <w:rFonts w:ascii="Times New Roman" w:hAnsi="Times New Roman" w:eastAsia="黑体" w:cs="Times New Roman"/>
          <w:sz w:val="24"/>
          <w:szCs w:val="24"/>
          <w:highlight w:val="none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76418443"/>
    </w:sdtPr>
    <w:sdtEndPr>
      <w:rPr>
        <w:rFonts w:ascii="Times New Roman" w:hAnsi="Times New Roman" w:cs="Times New Roman"/>
        <w:sz w:val="21"/>
        <w:szCs w:val="21"/>
      </w:rPr>
    </w:sdtEndPr>
    <w:sdtContent>
      <w:p>
        <w:pPr>
          <w:pStyle w:val="3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t>-</w:t>
        </w: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3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  <w:r>
          <w:rPr>
            <w:rFonts w:ascii="Times New Roman" w:hAnsi="Times New Roman" w:cs="Times New Roman"/>
            <w:sz w:val="21"/>
            <w:szCs w:val="21"/>
          </w:rPr>
          <w:t>-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42"/>
    <w:rsid w:val="00025BC6"/>
    <w:rsid w:val="00030107"/>
    <w:rsid w:val="00052A83"/>
    <w:rsid w:val="000638C3"/>
    <w:rsid w:val="00065560"/>
    <w:rsid w:val="00092378"/>
    <w:rsid w:val="000B4902"/>
    <w:rsid w:val="001120A7"/>
    <w:rsid w:val="00177505"/>
    <w:rsid w:val="00186B89"/>
    <w:rsid w:val="001C33DD"/>
    <w:rsid w:val="001E6F9B"/>
    <w:rsid w:val="00214E89"/>
    <w:rsid w:val="00216835"/>
    <w:rsid w:val="00232107"/>
    <w:rsid w:val="00243FC1"/>
    <w:rsid w:val="002734A9"/>
    <w:rsid w:val="002B1933"/>
    <w:rsid w:val="002F0306"/>
    <w:rsid w:val="0030077A"/>
    <w:rsid w:val="00356339"/>
    <w:rsid w:val="003B0342"/>
    <w:rsid w:val="003D0D42"/>
    <w:rsid w:val="0041162C"/>
    <w:rsid w:val="004642A1"/>
    <w:rsid w:val="00491230"/>
    <w:rsid w:val="004E7F23"/>
    <w:rsid w:val="00513BB4"/>
    <w:rsid w:val="00543329"/>
    <w:rsid w:val="005D4224"/>
    <w:rsid w:val="00631647"/>
    <w:rsid w:val="00644FC8"/>
    <w:rsid w:val="0066103D"/>
    <w:rsid w:val="00663112"/>
    <w:rsid w:val="006F302F"/>
    <w:rsid w:val="00703368"/>
    <w:rsid w:val="007B6BDC"/>
    <w:rsid w:val="007F6770"/>
    <w:rsid w:val="0084637A"/>
    <w:rsid w:val="00856923"/>
    <w:rsid w:val="0087225F"/>
    <w:rsid w:val="00873D42"/>
    <w:rsid w:val="008C2D92"/>
    <w:rsid w:val="0090329A"/>
    <w:rsid w:val="009E5945"/>
    <w:rsid w:val="00A24E40"/>
    <w:rsid w:val="00A45B62"/>
    <w:rsid w:val="00A955AF"/>
    <w:rsid w:val="00AB67AB"/>
    <w:rsid w:val="00AF10C5"/>
    <w:rsid w:val="00B60F41"/>
    <w:rsid w:val="00B74F23"/>
    <w:rsid w:val="00B867DC"/>
    <w:rsid w:val="00C32B06"/>
    <w:rsid w:val="00CD1DE7"/>
    <w:rsid w:val="00D32AE8"/>
    <w:rsid w:val="00D55659"/>
    <w:rsid w:val="00D75A60"/>
    <w:rsid w:val="00D9321B"/>
    <w:rsid w:val="00D95BBD"/>
    <w:rsid w:val="00DD7332"/>
    <w:rsid w:val="00DE5E51"/>
    <w:rsid w:val="00E04C09"/>
    <w:rsid w:val="00E35DB8"/>
    <w:rsid w:val="00E64A23"/>
    <w:rsid w:val="00E67D6C"/>
    <w:rsid w:val="00F836F9"/>
    <w:rsid w:val="00FB0BCF"/>
    <w:rsid w:val="00FE3256"/>
    <w:rsid w:val="00FE6ED5"/>
    <w:rsid w:val="0D7A3823"/>
    <w:rsid w:val="154E08CB"/>
    <w:rsid w:val="16AB0C3C"/>
    <w:rsid w:val="2A8416B6"/>
    <w:rsid w:val="32EE45D0"/>
    <w:rsid w:val="4CCB655F"/>
    <w:rsid w:val="4E5B3DA0"/>
    <w:rsid w:val="525B5714"/>
    <w:rsid w:val="57A2266E"/>
    <w:rsid w:val="5BEE43FC"/>
    <w:rsid w:val="69DB185F"/>
    <w:rsid w:val="6C165B34"/>
    <w:rsid w:val="6F6E3F7D"/>
    <w:rsid w:val="7AC7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标题1"/>
    <w:basedOn w:val="7"/>
    <w:qFormat/>
    <w:uiPriority w:val="0"/>
  </w:style>
  <w:style w:type="character" w:customStyle="1" w:styleId="12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315</Words>
  <Characters>1800</Characters>
  <Lines>15</Lines>
  <Paragraphs>4</Paragraphs>
  <TotalTime>7</TotalTime>
  <ScaleCrop>false</ScaleCrop>
  <LinksUpToDate>false</LinksUpToDate>
  <CharactersWithSpaces>2111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2017-06-14T02:59:00Z</dcterms:created>
  <dc:creator>梅林坚</dc:creator>
  <cp:lastModifiedBy>℡↙木嘴沙爹</cp:lastModifiedBy>
  <dcterms:modified xsi:type="dcterms:W3CDTF">2020-04-30T03:06:29Z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