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outlineLvl w:val="0"/>
        <w:rPr>
          <w:b/>
          <w:spacing w:val="50"/>
          <w:sz w:val="72"/>
        </w:rPr>
      </w:pPr>
    </w:p>
    <w:p>
      <w:pPr>
        <w:spacing w:line="480" w:lineRule="auto"/>
        <w:jc w:val="center"/>
        <w:outlineLvl w:val="0"/>
        <w:rPr>
          <w:b/>
          <w:spacing w:val="50"/>
          <w:sz w:val="72"/>
        </w:rPr>
      </w:pPr>
    </w:p>
    <w:p>
      <w:pPr>
        <w:spacing w:line="900" w:lineRule="exact"/>
        <w:jc w:val="center"/>
        <w:outlineLvl w:val="0"/>
        <w:rPr>
          <w:rFonts w:ascii="黑体" w:eastAsia="黑体"/>
          <w:sz w:val="64"/>
          <w:szCs w:val="64"/>
        </w:rPr>
      </w:pPr>
      <w:r>
        <w:rPr>
          <w:rFonts w:hint="eastAsia" w:ascii="黑体" w:eastAsia="黑体"/>
          <w:spacing w:val="50"/>
          <w:sz w:val="64"/>
          <w:szCs w:val="64"/>
        </w:rPr>
        <w:t>山东省国家重点监控企业自行监测方案</w:t>
      </w:r>
    </w:p>
    <w:p>
      <w:pPr>
        <w:jc w:val="center"/>
        <w:rPr>
          <w:rFonts w:ascii="黑体" w:eastAsia="黑体"/>
          <w:sz w:val="30"/>
          <w:szCs w:val="30"/>
        </w:rPr>
      </w:pPr>
    </w:p>
    <w:p>
      <w:pPr>
        <w:spacing w:line="800" w:lineRule="exact"/>
        <w:jc w:val="center"/>
        <w:rPr>
          <w:sz w:val="30"/>
          <w:szCs w:val="30"/>
        </w:rPr>
      </w:pPr>
    </w:p>
    <w:p>
      <w:pPr>
        <w:spacing w:line="1200" w:lineRule="exact"/>
        <w:jc w:val="center"/>
        <w:rPr>
          <w:sz w:val="30"/>
          <w:szCs w:val="30"/>
        </w:rPr>
      </w:pPr>
    </w:p>
    <w:p>
      <w:pPr>
        <w:spacing w:line="1200" w:lineRule="exact"/>
        <w:ind w:left="2644" w:leftChars="713" w:hanging="1147" w:hangingChars="381"/>
        <w:rPr>
          <w:rFonts w:hint="eastAsia"/>
          <w:b/>
          <w:sz w:val="30"/>
        </w:rPr>
      </w:pPr>
    </w:p>
    <w:p>
      <w:pPr>
        <w:spacing w:line="1200" w:lineRule="exact"/>
        <w:ind w:left="2644" w:leftChars="713" w:hanging="1147" w:hangingChars="381"/>
        <w:rPr>
          <w:bCs/>
          <w:spacing w:val="-20"/>
          <w:sz w:val="30"/>
          <w:szCs w:val="30"/>
          <w:u w:val="single"/>
        </w:rPr>
      </w:pPr>
      <w:r>
        <w:rPr>
          <w:rFonts w:hint="eastAsia"/>
          <w:b/>
          <w:sz w:val="30"/>
        </w:rPr>
        <w:t>企业名称</w:t>
      </w:r>
      <w:r>
        <w:rPr>
          <w:rFonts w:hint="eastAsia"/>
          <w:b/>
          <w:sz w:val="30"/>
          <w:u w:val="single"/>
        </w:rPr>
        <w:t>：</w:t>
      </w:r>
      <w:r>
        <w:rPr>
          <w:rFonts w:hint="eastAsia"/>
          <w:b w:val="0"/>
          <w:bCs/>
          <w:sz w:val="30"/>
          <w:u w:val="single"/>
        </w:rPr>
        <w:t>济南</w:t>
      </w:r>
      <w:r>
        <w:rPr>
          <w:rFonts w:hint="eastAsia"/>
          <w:b w:val="0"/>
          <w:bCs/>
          <w:sz w:val="30"/>
          <w:u w:val="single"/>
          <w:lang w:val="en-US" w:eastAsia="zh-CN"/>
        </w:rPr>
        <w:t>北控腊山污水处理</w:t>
      </w:r>
      <w:r>
        <w:rPr>
          <w:rFonts w:hint="eastAsia"/>
          <w:b w:val="0"/>
          <w:bCs/>
          <w:sz w:val="30"/>
          <w:u w:val="single"/>
        </w:rPr>
        <w:t>有限公司</w:t>
      </w:r>
      <w:r>
        <w:rPr>
          <w:b w:val="0"/>
          <w:bCs/>
          <w:sz w:val="30"/>
          <w:u w:val="single"/>
        </w:rPr>
        <w:t xml:space="preserve"> </w:t>
      </w:r>
    </w:p>
    <w:p>
      <w:pPr>
        <w:spacing w:line="1200" w:lineRule="exact"/>
        <w:ind w:firstLine="1494" w:firstLineChars="496"/>
        <w:rPr>
          <w:rFonts w:hint="default" w:eastAsia="宋体"/>
          <w:bCs/>
          <w:spacing w:val="-20"/>
          <w:sz w:val="30"/>
          <w:szCs w:val="30"/>
          <w:u w:val="single"/>
          <w:lang w:val="en-US" w:eastAsia="zh-CN"/>
        </w:rPr>
      </w:pPr>
      <w:r>
        <w:rPr>
          <w:rFonts w:hint="eastAsia"/>
          <w:b/>
          <w:sz w:val="30"/>
        </w:rPr>
        <w:t>监测单位</w:t>
      </w:r>
      <w:r>
        <w:rPr>
          <w:rFonts w:hint="eastAsia"/>
          <w:sz w:val="30"/>
          <w:u w:val="thick"/>
        </w:rPr>
        <w:t>：</w:t>
      </w:r>
      <w:r>
        <w:rPr>
          <w:sz w:val="30"/>
          <w:u w:val="thick"/>
        </w:rPr>
        <w:t xml:space="preserve"> </w:t>
      </w:r>
      <w:r>
        <w:rPr>
          <w:rFonts w:hint="eastAsia"/>
          <w:sz w:val="30"/>
          <w:u w:val="thick"/>
        </w:rPr>
        <w:t>青岛维勘质量检测有限公司</w:t>
      </w:r>
      <w:r>
        <w:rPr>
          <w:rFonts w:hint="eastAsia"/>
          <w:sz w:val="30"/>
          <w:u w:val="thick"/>
          <w:lang w:val="en-US" w:eastAsia="zh-CN"/>
        </w:rPr>
        <w:t xml:space="preserve">    </w:t>
      </w:r>
    </w:p>
    <w:p>
      <w:pPr>
        <w:spacing w:line="1200" w:lineRule="exact"/>
        <w:ind w:left="2644" w:leftChars="713" w:right="210" w:hanging="1147" w:hangingChars="381"/>
        <w:rPr>
          <w:sz w:val="24"/>
          <w:u w:val="single"/>
        </w:rPr>
      </w:pPr>
      <w:r>
        <w:rPr>
          <w:rFonts w:hint="eastAsia"/>
          <w:b/>
          <w:sz w:val="30"/>
        </w:rPr>
        <w:t>备案日期：</w:t>
      </w:r>
      <w:r>
        <w:rPr>
          <w:b/>
          <w:sz w:val="30"/>
          <w:u w:val="single"/>
        </w:rPr>
        <w:t xml:space="preserve">   </w:t>
      </w:r>
      <w:r>
        <w:rPr>
          <w:rFonts w:hint="eastAsia"/>
          <w:b w:val="0"/>
          <w:bCs/>
          <w:sz w:val="30"/>
          <w:u w:val="single"/>
          <w:lang w:val="en-US" w:eastAsia="zh-CN"/>
        </w:rPr>
        <w:t>2020年1月</w:t>
      </w:r>
      <w:r>
        <w:rPr>
          <w:b w:val="0"/>
          <w:bCs/>
          <w:sz w:val="30"/>
          <w:u w:val="single"/>
        </w:rPr>
        <w:t xml:space="preserve"> </w:t>
      </w:r>
      <w:r>
        <w:rPr>
          <w:b/>
          <w:sz w:val="30"/>
          <w:u w:val="single"/>
        </w:rPr>
        <w:t xml:space="preserve">  </w:t>
      </w:r>
      <w:r>
        <w:rPr>
          <w:rFonts w:hint="eastAsia"/>
          <w:b/>
          <w:sz w:val="30"/>
          <w:u w:val="single"/>
          <w:lang w:val="en-US" w:eastAsia="zh-CN"/>
        </w:rPr>
        <w:t xml:space="preserve">             </w:t>
      </w:r>
    </w:p>
    <w:p>
      <w:pPr>
        <w:spacing w:line="400" w:lineRule="atLeast"/>
        <w:jc w:val="center"/>
        <w:rPr>
          <w:b/>
          <w:bCs/>
          <w:sz w:val="28"/>
        </w:rPr>
      </w:pPr>
    </w:p>
    <w:p>
      <w:pPr>
        <w:spacing w:line="400" w:lineRule="atLeast"/>
        <w:jc w:val="center"/>
        <w:rPr>
          <w:b/>
          <w:bCs/>
          <w:sz w:val="28"/>
        </w:rPr>
      </w:pPr>
    </w:p>
    <w:p>
      <w:pPr>
        <w:spacing w:line="400" w:lineRule="atLeast"/>
        <w:jc w:val="center"/>
        <w:rPr>
          <w:b/>
          <w:bCs/>
          <w:sz w:val="28"/>
        </w:rPr>
        <w:sectPr>
          <w:pgSz w:w="11906" w:h="16838"/>
          <w:pgMar w:top="1440" w:right="1588" w:bottom="1440" w:left="1588" w:header="851" w:footer="992" w:gutter="0"/>
          <w:cols w:space="720" w:num="1"/>
          <w:docGrid w:type="lines" w:linePitch="312" w:charSpace="0"/>
        </w:sectPr>
      </w:pPr>
    </w:p>
    <w:p>
      <w:pPr>
        <w:jc w:val="center"/>
        <w:rPr>
          <w:rFonts w:ascii="黑体" w:hAnsi="黑体" w:eastAsia="黑体"/>
          <w:b/>
          <w:kern w:val="0"/>
          <w:sz w:val="36"/>
          <w:szCs w:val="36"/>
        </w:rPr>
      </w:pPr>
      <w:r>
        <w:rPr>
          <w:rFonts w:hint="eastAsia" w:ascii="黑体" w:hAnsi="黑体" w:eastAsia="黑体"/>
          <w:b/>
          <w:kern w:val="0"/>
          <w:sz w:val="36"/>
          <w:szCs w:val="36"/>
        </w:rPr>
        <w:t>济南</w:t>
      </w:r>
      <w:r>
        <w:rPr>
          <w:rFonts w:hint="eastAsia" w:ascii="黑体" w:hAnsi="黑体" w:eastAsia="黑体"/>
          <w:b/>
          <w:kern w:val="0"/>
          <w:sz w:val="36"/>
          <w:szCs w:val="36"/>
          <w:lang w:val="en-US" w:eastAsia="zh-CN"/>
        </w:rPr>
        <w:t>北控腊山污水处理</w:t>
      </w:r>
      <w:r>
        <w:rPr>
          <w:rFonts w:hint="eastAsia" w:ascii="黑体" w:hAnsi="黑体" w:eastAsia="黑体"/>
          <w:b/>
          <w:kern w:val="0"/>
          <w:sz w:val="36"/>
          <w:szCs w:val="36"/>
        </w:rPr>
        <w:t>有限公司</w:t>
      </w:r>
    </w:p>
    <w:p>
      <w:pPr>
        <w:jc w:val="center"/>
        <w:rPr>
          <w:rFonts w:ascii="黑体" w:hAnsi="黑体" w:eastAsia="黑体"/>
          <w:b/>
          <w:kern w:val="0"/>
          <w:sz w:val="36"/>
          <w:szCs w:val="36"/>
        </w:rPr>
      </w:pPr>
      <w:r>
        <w:rPr>
          <w:rFonts w:hint="eastAsia" w:ascii="黑体" w:hAnsi="黑体" w:eastAsia="黑体"/>
          <w:b/>
          <w:kern w:val="0"/>
          <w:sz w:val="36"/>
          <w:szCs w:val="36"/>
        </w:rPr>
        <w:t>自行监测方案</w:t>
      </w:r>
    </w:p>
    <w:p>
      <w:pPr>
        <w:pStyle w:val="4"/>
        <w:adjustRightInd w:val="0"/>
        <w:snapToGrid w:val="0"/>
        <w:spacing w:line="600" w:lineRule="exact"/>
        <w:ind w:firstLine="31680"/>
        <w:outlineLvl w:val="0"/>
        <w:rPr>
          <w:rFonts w:hint="eastAsia" w:ascii="宋体" w:hAnsi="宋体" w:eastAsia="宋体" w:cs="宋体"/>
          <w:sz w:val="28"/>
          <w:szCs w:val="28"/>
        </w:rPr>
      </w:pPr>
      <w:r>
        <w:rPr>
          <w:rFonts w:hint="eastAsia" w:ascii="宋体" w:hAnsi="宋体" w:eastAsia="宋体" w:cs="宋体"/>
          <w:sz w:val="28"/>
          <w:szCs w:val="28"/>
        </w:rPr>
        <w:t>根据《国家重点监控企业自行监测及信息公开办法（试行）》的规定，制定本企业自行监测方案。</w:t>
      </w:r>
    </w:p>
    <w:p>
      <w:pPr>
        <w:pStyle w:val="4"/>
        <w:adjustRightInd w:val="0"/>
        <w:snapToGrid w:val="0"/>
        <w:spacing w:line="600" w:lineRule="exact"/>
        <w:ind w:firstLine="31680"/>
        <w:outlineLvl w:val="0"/>
        <w:rPr>
          <w:rFonts w:ascii="Times New Roman" w:hAnsi="Times New Roman" w:eastAsia="黑体"/>
          <w:sz w:val="32"/>
          <w:szCs w:val="32"/>
        </w:rPr>
      </w:pPr>
      <w:r>
        <w:rPr>
          <w:rFonts w:hint="eastAsia" w:ascii="Times New Roman" w:hAnsi="Times New Roman" w:eastAsia="黑体"/>
          <w:sz w:val="32"/>
          <w:szCs w:val="32"/>
        </w:rPr>
        <w:t>一、基本情况</w:t>
      </w:r>
    </w:p>
    <w:p>
      <w:pPr>
        <w:adjustRightInd w:val="0"/>
        <w:snapToGrid w:val="0"/>
        <w:spacing w:line="600" w:lineRule="exact"/>
        <w:ind w:firstLine="560" w:firstLineChars="200"/>
        <w:outlineLvl w:val="0"/>
        <w:rPr>
          <w:rFonts w:ascii="黑体" w:eastAsia="黑体"/>
          <w:sz w:val="28"/>
          <w:szCs w:val="28"/>
        </w:rPr>
      </w:pPr>
      <w:r>
        <w:rPr>
          <w:rFonts w:hint="eastAsia" w:ascii="黑体" w:eastAsia="黑体"/>
          <w:sz w:val="28"/>
          <w:szCs w:val="28"/>
        </w:rPr>
        <w:t>（一）企业生产情况</w:t>
      </w:r>
    </w:p>
    <w:p>
      <w:pPr>
        <w:adjustRightInd w:val="0"/>
        <w:snapToGrid w:val="0"/>
        <w:spacing w:line="600" w:lineRule="exact"/>
        <w:ind w:firstLine="560" w:firstLineChars="200"/>
        <w:outlineLvl w:val="0"/>
        <w:rPr>
          <w:sz w:val="28"/>
          <w:szCs w:val="28"/>
        </w:rPr>
      </w:pPr>
      <w:r>
        <w:rPr>
          <w:rFonts w:hint="eastAsia"/>
          <w:sz w:val="28"/>
          <w:szCs w:val="28"/>
        </w:rPr>
        <w:t>企业概况、生产规模、项目立项、环评及批复情况、厂区平面布置图等。</w:t>
      </w:r>
    </w:p>
    <w:p>
      <w:pPr>
        <w:numPr>
          <w:ilvl w:val="0"/>
          <w:numId w:val="1"/>
        </w:numPr>
        <w:adjustRightInd w:val="0"/>
        <w:snapToGrid w:val="0"/>
        <w:spacing w:line="600" w:lineRule="exact"/>
        <w:ind w:firstLine="560" w:firstLineChars="200"/>
        <w:outlineLvl w:val="0"/>
        <w:rPr>
          <w:rFonts w:hint="eastAsia" w:ascii="宋体" w:hAnsi="宋体"/>
          <w:bCs/>
          <w:sz w:val="28"/>
          <w:szCs w:val="28"/>
        </w:rPr>
      </w:pPr>
      <w:r>
        <w:rPr>
          <w:rFonts w:hint="eastAsia" w:ascii="宋体" w:hAnsi="宋体"/>
          <w:bCs/>
          <w:sz w:val="28"/>
          <w:szCs w:val="28"/>
        </w:rPr>
        <w:t>企业概况</w:t>
      </w:r>
      <w:r>
        <w:rPr>
          <w:rFonts w:hint="eastAsia" w:ascii="宋体" w:hAnsi="宋体"/>
          <w:bCs/>
          <w:sz w:val="28"/>
          <w:szCs w:val="28"/>
          <w:lang w:val="en-US" w:eastAsia="zh-CN"/>
        </w:rPr>
        <w:t>:济南北控腊山污水处理有限公司主要服务于腊山片区以及玉符河流域收集的近期污水量，主要服务于腊山片区以及玉符河流域收集的近期污水量，腊山片区东至拥军路及槐荫区、市中区行政用地边界，西至京福高速公路，南至京沪铁路，北至腊山河北路，总用地面积约 1118 公顷。规划城市建设用地 606.16 公顷，建设开发总量约 630 万平方米，人口规模约 15.6 万。</w:t>
      </w:r>
    </w:p>
    <w:p>
      <w:pPr>
        <w:numPr>
          <w:ilvl w:val="0"/>
          <w:numId w:val="0"/>
        </w:numPr>
        <w:adjustRightInd w:val="0"/>
        <w:snapToGrid w:val="0"/>
        <w:spacing w:line="600" w:lineRule="exact"/>
        <w:ind w:firstLine="560" w:firstLineChars="200"/>
        <w:outlineLvl w:val="0"/>
        <w:rPr>
          <w:rFonts w:hint="eastAsia" w:ascii="宋体" w:hAnsi="宋体"/>
          <w:bCs/>
          <w:sz w:val="28"/>
          <w:szCs w:val="28"/>
        </w:rPr>
      </w:pPr>
      <w:r>
        <w:rPr>
          <w:rFonts w:ascii="宋体" w:hAnsi="宋体"/>
          <w:bCs/>
          <w:sz w:val="28"/>
          <w:szCs w:val="28"/>
        </w:rPr>
        <w:t>2</w:t>
      </w:r>
      <w:r>
        <w:rPr>
          <w:rFonts w:hint="eastAsia" w:ascii="宋体" w:hAnsi="宋体"/>
          <w:bCs/>
          <w:sz w:val="28"/>
          <w:szCs w:val="28"/>
        </w:rPr>
        <w:t>、生产规模：</w:t>
      </w:r>
    </w:p>
    <w:p>
      <w:pPr>
        <w:tabs>
          <w:tab w:val="left" w:pos="3750"/>
        </w:tabs>
        <w:adjustRightInd w:val="0"/>
        <w:snapToGrid w:val="0"/>
        <w:spacing w:line="600" w:lineRule="exact"/>
        <w:outlineLvl w:val="0"/>
        <w:rPr>
          <w:rFonts w:hint="eastAsia" w:ascii="宋体" w:hAnsi="宋体"/>
          <w:bCs/>
          <w:sz w:val="28"/>
          <w:szCs w:val="28"/>
          <w:lang w:val="en-US" w:eastAsia="zh-CN"/>
        </w:rPr>
      </w:pPr>
      <w:r>
        <w:rPr>
          <w:rFonts w:hint="eastAsia" w:ascii="宋体" w:hAnsi="宋体"/>
          <w:bCs/>
          <w:sz w:val="28"/>
          <w:szCs w:val="28"/>
          <w:lang w:val="en-US" w:eastAsia="zh-CN"/>
        </w:rPr>
        <w:t xml:space="preserve">    济南北控腊山污水处理有限公司总投资20453.62万元，工程于2018年8月10日开始施工，占地面积3公顷。采用“预处理+改良 A/A/O 工艺+深度处理”工艺，由济南市市政工程设计研究院（集团）有限责任公司设计，设计出水水质标准执行 GB18918-2002 中的一级标准 A 标准，其中 CODCr 执行《济南市人民政府办公厅关于提高部分排污企业水污染物排放执行标准的通知》（济政办字[2011]49 号）的要求 CODCr≤45mg/L；NH3-N、总磷执行《济南市人民政府办公厅关于济南市小清河流域执行水污染物区域排放限值的通知》（济政办字【2017】30 号）的要求。</w:t>
      </w:r>
    </w:p>
    <w:p>
      <w:pPr>
        <w:tabs>
          <w:tab w:val="left" w:pos="3750"/>
        </w:tabs>
        <w:adjustRightInd w:val="0"/>
        <w:snapToGrid w:val="0"/>
        <w:spacing w:line="600" w:lineRule="exact"/>
        <w:outlineLvl w:val="0"/>
        <w:rPr>
          <w:rFonts w:hint="default" w:ascii="宋体" w:eastAsia="宋体"/>
          <w:bCs/>
          <w:sz w:val="28"/>
          <w:szCs w:val="28"/>
          <w:lang w:val="en-US" w:eastAsia="zh-CN"/>
        </w:rPr>
      </w:pPr>
      <w:r>
        <w:rPr>
          <w:rFonts w:hint="eastAsia" w:ascii="宋体" w:hAnsi="宋体"/>
          <w:bCs/>
          <w:sz w:val="28"/>
          <w:szCs w:val="28"/>
          <w:lang w:val="en-US" w:eastAsia="zh-CN"/>
        </w:rPr>
        <w:t xml:space="preserve">    </w:t>
      </w:r>
      <w:r>
        <w:rPr>
          <w:rFonts w:ascii="宋体" w:hAnsi="宋体"/>
          <w:bCs/>
          <w:sz w:val="28"/>
          <w:szCs w:val="28"/>
        </w:rPr>
        <w:t>3</w:t>
      </w:r>
      <w:r>
        <w:rPr>
          <w:rFonts w:hint="eastAsia" w:ascii="宋体" w:hAnsi="宋体"/>
          <w:bCs/>
          <w:sz w:val="28"/>
          <w:szCs w:val="28"/>
        </w:rPr>
        <w:t>、项目立项：</w:t>
      </w:r>
      <w:r>
        <w:rPr>
          <w:rFonts w:hint="eastAsia" w:ascii="宋体" w:hAnsi="宋体"/>
          <w:bCs/>
          <w:sz w:val="28"/>
          <w:szCs w:val="28"/>
          <w:lang w:val="en-US" w:eastAsia="zh-CN"/>
        </w:rPr>
        <w:t>2017年8月10日，济南发展和改革委员会办公室向济南市城乡水务局下发文号为济发改投资[2017]426号《济南发展和改革委员会关于济南市腊山水质净化厂项目可行性研究报告的批复》，准予腊山水质净化厂项目立项实施。</w:t>
      </w:r>
    </w:p>
    <w:p>
      <w:pPr>
        <w:tabs>
          <w:tab w:val="left" w:pos="3750"/>
        </w:tabs>
        <w:adjustRightInd w:val="0"/>
        <w:snapToGrid w:val="0"/>
        <w:spacing w:line="600" w:lineRule="exact"/>
        <w:ind w:firstLine="560" w:firstLineChars="200"/>
        <w:outlineLvl w:val="0"/>
        <w:rPr>
          <w:rFonts w:hint="default" w:ascii="宋体" w:hAnsi="宋体" w:eastAsia="宋体"/>
          <w:bCs/>
          <w:sz w:val="28"/>
          <w:szCs w:val="28"/>
          <w:lang w:val="en-US" w:eastAsia="zh-CN"/>
        </w:rPr>
      </w:pPr>
      <w:r>
        <w:rPr>
          <w:rFonts w:ascii="宋体" w:hAnsi="宋体"/>
          <w:bCs/>
          <w:sz w:val="28"/>
          <w:szCs w:val="28"/>
        </w:rPr>
        <w:t>4</w:t>
      </w:r>
      <w:r>
        <w:rPr>
          <w:rFonts w:hint="eastAsia" w:ascii="宋体" w:hAnsi="宋体"/>
          <w:bCs/>
          <w:sz w:val="28"/>
          <w:szCs w:val="28"/>
        </w:rPr>
        <w:t>、环评及批复情况：</w:t>
      </w:r>
      <w:r>
        <w:rPr>
          <w:rFonts w:hint="eastAsia" w:ascii="宋体" w:hAnsi="宋体"/>
          <w:bCs/>
          <w:sz w:val="28"/>
          <w:szCs w:val="28"/>
          <w:lang w:val="en-US" w:eastAsia="zh-CN"/>
        </w:rPr>
        <w:t>济南市槐荫区环境保护局于2017年7月31日完成济南市腊山水质净化厂项目的环评审批，文号济槐环建审[2017]64号，</w:t>
      </w:r>
    </w:p>
    <w:p>
      <w:pPr>
        <w:tabs>
          <w:tab w:val="left" w:pos="3750"/>
        </w:tabs>
        <w:adjustRightInd w:val="0"/>
        <w:snapToGrid w:val="0"/>
        <w:spacing w:line="600" w:lineRule="exact"/>
        <w:ind w:firstLine="560" w:firstLineChars="200"/>
        <w:outlineLvl w:val="0"/>
        <w:rPr>
          <w:rFonts w:ascii="宋体"/>
          <w:bCs/>
          <w:sz w:val="28"/>
          <w:szCs w:val="28"/>
        </w:rPr>
      </w:pPr>
      <w:r>
        <w:rPr>
          <w:rFonts w:ascii="宋体" w:hAnsi="宋体"/>
          <w:bCs/>
          <w:sz w:val="28"/>
          <w:szCs w:val="28"/>
        </w:rPr>
        <w:t>5</w:t>
      </w:r>
      <w:r>
        <w:rPr>
          <w:rFonts w:hint="eastAsia" w:ascii="宋体" w:hAnsi="宋体"/>
          <w:bCs/>
          <w:sz w:val="28"/>
          <w:szCs w:val="28"/>
        </w:rPr>
        <w:t>、厂区平面布置图：见附件一</w:t>
      </w:r>
    </w:p>
    <w:p>
      <w:pPr>
        <w:adjustRightInd w:val="0"/>
        <w:snapToGrid w:val="0"/>
        <w:spacing w:line="600" w:lineRule="exact"/>
        <w:ind w:firstLine="560" w:firstLineChars="200"/>
        <w:outlineLvl w:val="0"/>
        <w:rPr>
          <w:rFonts w:ascii="黑体" w:eastAsia="黑体"/>
          <w:bCs/>
          <w:sz w:val="28"/>
          <w:szCs w:val="28"/>
        </w:rPr>
      </w:pPr>
      <w:r>
        <w:rPr>
          <w:rFonts w:hint="eastAsia" w:ascii="黑体" w:hAnsi="宋体" w:eastAsia="黑体"/>
          <w:bCs/>
          <w:sz w:val="28"/>
          <w:szCs w:val="28"/>
        </w:rPr>
        <w:t>（二）企业污染治理情况</w:t>
      </w:r>
    </w:p>
    <w:p>
      <w:pPr>
        <w:spacing w:beforeLines="50" w:afterLines="50" w:line="360" w:lineRule="auto"/>
        <w:ind w:firstLine="560" w:firstLineChars="200"/>
        <w:rPr>
          <w:rFonts w:ascii="宋体"/>
          <w:bCs/>
          <w:sz w:val="28"/>
          <w:szCs w:val="28"/>
        </w:rPr>
      </w:pPr>
      <w:r>
        <w:rPr>
          <w:rFonts w:hint="eastAsia" w:ascii="宋体" w:hAnsi="宋体"/>
          <w:bCs/>
          <w:sz w:val="28"/>
          <w:szCs w:val="28"/>
        </w:rPr>
        <w:t>污染物种类、污染物日产生量、产污工艺节点或设施（工艺流程图）、污染治理工艺、排放标准及限值、污染物最终去向等。</w:t>
      </w:r>
    </w:p>
    <w:p>
      <w:pPr>
        <w:spacing w:beforeLines="50" w:afterLines="50" w:line="360" w:lineRule="auto"/>
        <w:ind w:firstLine="560" w:firstLineChars="200"/>
        <w:rPr>
          <w:rFonts w:ascii="宋体"/>
          <w:bCs/>
          <w:sz w:val="28"/>
          <w:szCs w:val="28"/>
        </w:rPr>
      </w:pPr>
      <w:r>
        <w:rPr>
          <w:rFonts w:ascii="宋体" w:hAnsi="宋体"/>
          <w:bCs/>
          <w:sz w:val="28"/>
          <w:szCs w:val="28"/>
        </w:rPr>
        <w:t>1</w:t>
      </w:r>
      <w:r>
        <w:rPr>
          <w:rFonts w:hint="eastAsia" w:ascii="宋体" w:hAnsi="宋体"/>
          <w:bCs/>
          <w:sz w:val="28"/>
          <w:szCs w:val="28"/>
        </w:rPr>
        <w:t>、污染物种类：</w:t>
      </w:r>
      <w:r>
        <w:rPr>
          <w:rFonts w:ascii="宋体" w:hAnsi="宋体"/>
          <w:bCs/>
          <w:sz w:val="28"/>
          <w:szCs w:val="28"/>
        </w:rPr>
        <w:t>COD</w:t>
      </w:r>
      <w:r>
        <w:rPr>
          <w:rFonts w:hint="eastAsia" w:ascii="宋体" w:hAnsi="宋体"/>
          <w:bCs/>
          <w:sz w:val="28"/>
          <w:szCs w:val="28"/>
        </w:rPr>
        <w:t>、</w:t>
      </w:r>
      <w:r>
        <w:rPr>
          <w:rFonts w:ascii="宋体" w:hAnsi="宋体"/>
          <w:bCs/>
          <w:sz w:val="28"/>
          <w:szCs w:val="28"/>
        </w:rPr>
        <w:t>PH</w:t>
      </w:r>
      <w:r>
        <w:rPr>
          <w:rFonts w:hint="eastAsia" w:ascii="宋体" w:hAnsi="宋体"/>
          <w:bCs/>
          <w:sz w:val="28"/>
          <w:szCs w:val="28"/>
        </w:rPr>
        <w:t>、</w:t>
      </w:r>
      <w:r>
        <w:rPr>
          <w:rFonts w:ascii="宋体" w:hAnsi="宋体"/>
          <w:bCs/>
          <w:sz w:val="28"/>
          <w:szCs w:val="28"/>
        </w:rPr>
        <w:t>NH3-N</w:t>
      </w:r>
      <w:r>
        <w:rPr>
          <w:rFonts w:hint="eastAsia" w:ascii="宋体" w:hAnsi="宋体"/>
          <w:bCs/>
          <w:sz w:val="28"/>
          <w:szCs w:val="28"/>
        </w:rPr>
        <w:t>、</w:t>
      </w:r>
      <w:r>
        <w:rPr>
          <w:rFonts w:ascii="宋体" w:hAnsi="宋体"/>
          <w:bCs/>
          <w:sz w:val="28"/>
          <w:szCs w:val="28"/>
        </w:rPr>
        <w:t>TP</w:t>
      </w:r>
      <w:r>
        <w:rPr>
          <w:rFonts w:hint="eastAsia" w:ascii="宋体" w:hAnsi="宋体"/>
          <w:bCs/>
          <w:sz w:val="28"/>
          <w:szCs w:val="28"/>
        </w:rPr>
        <w:t>、</w:t>
      </w:r>
      <w:r>
        <w:rPr>
          <w:rFonts w:ascii="宋体" w:hAnsi="宋体"/>
          <w:bCs/>
          <w:sz w:val="28"/>
          <w:szCs w:val="28"/>
        </w:rPr>
        <w:t>TN</w:t>
      </w:r>
      <w:r>
        <w:rPr>
          <w:rFonts w:hint="eastAsia" w:ascii="宋体" w:hAnsi="宋体"/>
          <w:bCs/>
          <w:sz w:val="28"/>
          <w:szCs w:val="28"/>
        </w:rPr>
        <w:t>、</w:t>
      </w:r>
      <w:r>
        <w:rPr>
          <w:rFonts w:ascii="宋体" w:hAnsi="宋体"/>
          <w:bCs/>
          <w:sz w:val="28"/>
          <w:szCs w:val="28"/>
        </w:rPr>
        <w:t>SS</w:t>
      </w:r>
      <w:r>
        <w:rPr>
          <w:rFonts w:hint="eastAsia" w:ascii="宋体" w:hAnsi="宋体"/>
          <w:bCs/>
          <w:sz w:val="28"/>
          <w:szCs w:val="28"/>
        </w:rPr>
        <w:t>、</w:t>
      </w:r>
      <w:r>
        <w:rPr>
          <w:rFonts w:ascii="宋体" w:hAnsi="宋体"/>
          <w:bCs/>
          <w:sz w:val="28"/>
          <w:szCs w:val="28"/>
        </w:rPr>
        <w:t>BOD5</w:t>
      </w:r>
      <w:r>
        <w:rPr>
          <w:rFonts w:hint="eastAsia" w:ascii="宋体" w:hAnsi="宋体"/>
          <w:bCs/>
          <w:sz w:val="28"/>
          <w:szCs w:val="28"/>
        </w:rPr>
        <w:t>；</w:t>
      </w:r>
    </w:p>
    <w:p>
      <w:pPr>
        <w:spacing w:beforeLines="50" w:afterLines="50" w:line="360" w:lineRule="auto"/>
        <w:ind w:firstLine="560" w:firstLineChars="200"/>
        <w:rPr>
          <w:rFonts w:ascii="宋体"/>
          <w:bCs/>
          <w:sz w:val="28"/>
          <w:szCs w:val="28"/>
        </w:rPr>
      </w:pPr>
      <w:r>
        <w:rPr>
          <w:rFonts w:ascii="宋体" w:hAnsi="宋体"/>
          <w:bCs/>
          <w:sz w:val="28"/>
          <w:szCs w:val="28"/>
        </w:rPr>
        <w:t>2</w:t>
      </w:r>
      <w:r>
        <w:rPr>
          <w:rFonts w:hint="eastAsia" w:ascii="宋体" w:hAnsi="宋体"/>
          <w:bCs/>
          <w:sz w:val="28"/>
          <w:szCs w:val="28"/>
        </w:rPr>
        <w:t>、污染物日产生量：</w:t>
      </w:r>
    </w:p>
    <w:tbl>
      <w:tblPr>
        <w:tblStyle w:val="2"/>
        <w:tblW w:w="85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33"/>
        <w:gridCol w:w="1433"/>
        <w:gridCol w:w="1433"/>
        <w:gridCol w:w="1433"/>
        <w:gridCol w:w="1433"/>
        <w:gridCol w:w="14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trPr>
        <w:tc>
          <w:tcPr>
            <w:tcW w:w="143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8"/>
                <w:szCs w:val="28"/>
              </w:rPr>
            </w:pPr>
            <w:r>
              <w:rPr>
                <w:rFonts w:ascii="宋体" w:hAnsi="宋体" w:cs="宋体"/>
                <w:kern w:val="0"/>
                <w:sz w:val="28"/>
                <w:szCs w:val="28"/>
              </w:rPr>
              <w:t>COD(T)</w:t>
            </w:r>
          </w:p>
        </w:tc>
        <w:tc>
          <w:tcPr>
            <w:tcW w:w="143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kern w:val="0"/>
                <w:sz w:val="28"/>
                <w:szCs w:val="28"/>
              </w:rPr>
            </w:pPr>
            <w:r>
              <w:rPr>
                <w:rFonts w:ascii="宋体" w:hAnsi="宋体" w:cs="宋体"/>
                <w:kern w:val="0"/>
                <w:sz w:val="28"/>
                <w:szCs w:val="28"/>
              </w:rPr>
              <w:t>BOD(T)</w:t>
            </w:r>
          </w:p>
        </w:tc>
        <w:tc>
          <w:tcPr>
            <w:tcW w:w="143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8"/>
                <w:szCs w:val="28"/>
              </w:rPr>
            </w:pPr>
            <w:r>
              <w:rPr>
                <w:rFonts w:ascii="宋体" w:hAnsi="宋体" w:cs="宋体"/>
                <w:kern w:val="0"/>
                <w:sz w:val="28"/>
                <w:szCs w:val="28"/>
              </w:rPr>
              <w:t>NH3-N(T)</w:t>
            </w:r>
          </w:p>
        </w:tc>
        <w:tc>
          <w:tcPr>
            <w:tcW w:w="143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8"/>
                <w:szCs w:val="28"/>
              </w:rPr>
            </w:pPr>
            <w:r>
              <w:rPr>
                <w:rFonts w:ascii="宋体" w:hAnsi="宋体" w:cs="宋体"/>
                <w:kern w:val="0"/>
                <w:sz w:val="28"/>
                <w:szCs w:val="28"/>
              </w:rPr>
              <w:t>TN(T)</w:t>
            </w:r>
          </w:p>
        </w:tc>
        <w:tc>
          <w:tcPr>
            <w:tcW w:w="143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8"/>
                <w:szCs w:val="28"/>
              </w:rPr>
            </w:pPr>
            <w:r>
              <w:rPr>
                <w:rFonts w:ascii="宋体" w:hAnsi="宋体" w:cs="宋体"/>
                <w:kern w:val="0"/>
                <w:sz w:val="28"/>
                <w:szCs w:val="28"/>
              </w:rPr>
              <w:t>TP(T)</w:t>
            </w:r>
          </w:p>
        </w:tc>
        <w:tc>
          <w:tcPr>
            <w:tcW w:w="143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8"/>
                <w:szCs w:val="28"/>
              </w:rPr>
            </w:pPr>
            <w:r>
              <w:rPr>
                <w:rFonts w:ascii="宋体" w:hAnsi="宋体" w:cs="宋体"/>
                <w:kern w:val="0"/>
                <w:sz w:val="28"/>
                <w:szCs w:val="28"/>
              </w:rPr>
              <w:t>SS(T)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trPr>
        <w:tc>
          <w:tcPr>
            <w:tcW w:w="1433" w:type="dxa"/>
            <w:tcBorders>
              <w:top w:val="nil"/>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auto"/>
                <w:kern w:val="0"/>
                <w:sz w:val="28"/>
                <w:szCs w:val="28"/>
                <w:lang w:val="en-US" w:eastAsia="zh-CN"/>
              </w:rPr>
            </w:pPr>
            <w:r>
              <w:rPr>
                <w:rFonts w:hint="eastAsia" w:ascii="宋体" w:hAnsi="宋体" w:cs="宋体"/>
                <w:color w:val="auto"/>
                <w:kern w:val="0"/>
                <w:sz w:val="28"/>
                <w:szCs w:val="28"/>
                <w:lang w:val="en-US" w:eastAsia="zh-CN"/>
              </w:rPr>
              <w:t>1.8</w:t>
            </w:r>
          </w:p>
        </w:tc>
        <w:tc>
          <w:tcPr>
            <w:tcW w:w="1433" w:type="dxa"/>
            <w:tcBorders>
              <w:top w:val="nil"/>
              <w:left w:val="single" w:color="auto" w:sz="4" w:space="0"/>
              <w:bottom w:val="single" w:color="auto" w:sz="4" w:space="0"/>
              <w:right w:val="single" w:color="auto" w:sz="4" w:space="0"/>
            </w:tcBorders>
            <w:vAlign w:val="center"/>
          </w:tcPr>
          <w:p>
            <w:pPr>
              <w:widowControl/>
              <w:jc w:val="center"/>
              <w:rPr>
                <w:rFonts w:hint="default" w:ascii="宋体" w:hAnsi="宋体" w:eastAsia="宋体" w:cs="宋体"/>
                <w:color w:val="auto"/>
                <w:kern w:val="0"/>
                <w:sz w:val="28"/>
                <w:szCs w:val="28"/>
                <w:lang w:val="en-US" w:eastAsia="zh-CN"/>
              </w:rPr>
            </w:pPr>
            <w:r>
              <w:rPr>
                <w:rFonts w:hint="eastAsia" w:ascii="宋体" w:hAnsi="宋体" w:cs="宋体"/>
                <w:color w:val="auto"/>
                <w:kern w:val="0"/>
                <w:sz w:val="28"/>
                <w:szCs w:val="28"/>
                <w:lang w:val="en-US" w:eastAsia="zh-CN"/>
              </w:rPr>
              <w:t>0.4</w:t>
            </w:r>
          </w:p>
        </w:tc>
        <w:tc>
          <w:tcPr>
            <w:tcW w:w="1433" w:type="dxa"/>
            <w:tcBorders>
              <w:top w:val="nil"/>
              <w:left w:val="nil"/>
              <w:bottom w:val="single" w:color="auto" w:sz="4" w:space="0"/>
              <w:right w:val="single" w:color="auto" w:sz="4" w:space="0"/>
            </w:tcBorders>
            <w:vAlign w:val="center"/>
          </w:tcPr>
          <w:p>
            <w:pPr>
              <w:widowControl/>
              <w:jc w:val="center"/>
              <w:rPr>
                <w:rFonts w:hint="default" w:ascii="宋体" w:hAnsi="宋体" w:eastAsia="宋体" w:cs="宋体"/>
                <w:color w:val="auto"/>
                <w:kern w:val="0"/>
                <w:sz w:val="28"/>
                <w:szCs w:val="28"/>
                <w:lang w:val="en-US" w:eastAsia="zh-CN"/>
              </w:rPr>
            </w:pPr>
            <w:r>
              <w:rPr>
                <w:rFonts w:hint="eastAsia" w:ascii="宋体" w:hAnsi="宋体" w:cs="宋体"/>
                <w:color w:val="auto"/>
                <w:kern w:val="0"/>
                <w:sz w:val="28"/>
                <w:szCs w:val="28"/>
                <w:lang w:val="en-US" w:eastAsia="zh-CN"/>
              </w:rPr>
              <w:t>0.08（0.12）</w:t>
            </w:r>
          </w:p>
        </w:tc>
        <w:tc>
          <w:tcPr>
            <w:tcW w:w="1433" w:type="dxa"/>
            <w:tcBorders>
              <w:top w:val="nil"/>
              <w:left w:val="nil"/>
              <w:bottom w:val="single" w:color="auto" w:sz="4" w:space="0"/>
              <w:right w:val="single" w:color="auto" w:sz="4" w:space="0"/>
            </w:tcBorders>
            <w:vAlign w:val="center"/>
          </w:tcPr>
          <w:p>
            <w:pPr>
              <w:widowControl/>
              <w:jc w:val="center"/>
              <w:rPr>
                <w:rFonts w:hint="default" w:ascii="宋体" w:hAnsi="宋体" w:eastAsia="宋体" w:cs="宋体"/>
                <w:color w:val="auto"/>
                <w:kern w:val="0"/>
                <w:sz w:val="28"/>
                <w:szCs w:val="28"/>
                <w:lang w:val="en-US" w:eastAsia="zh-CN"/>
              </w:rPr>
            </w:pPr>
            <w:r>
              <w:rPr>
                <w:rFonts w:hint="eastAsia" w:ascii="宋体" w:hAnsi="宋体" w:cs="宋体"/>
                <w:color w:val="auto"/>
                <w:kern w:val="0"/>
                <w:sz w:val="28"/>
                <w:szCs w:val="28"/>
                <w:lang w:val="en-US" w:eastAsia="zh-CN"/>
              </w:rPr>
              <w:t>0.6</w:t>
            </w:r>
          </w:p>
        </w:tc>
        <w:tc>
          <w:tcPr>
            <w:tcW w:w="1433" w:type="dxa"/>
            <w:tcBorders>
              <w:top w:val="nil"/>
              <w:left w:val="nil"/>
              <w:bottom w:val="single" w:color="auto" w:sz="4" w:space="0"/>
              <w:right w:val="single" w:color="auto" w:sz="4" w:space="0"/>
            </w:tcBorders>
            <w:vAlign w:val="center"/>
          </w:tcPr>
          <w:p>
            <w:pPr>
              <w:widowControl/>
              <w:jc w:val="center"/>
              <w:rPr>
                <w:rFonts w:hint="default" w:ascii="宋体" w:hAnsi="宋体" w:eastAsia="宋体" w:cs="宋体"/>
                <w:color w:val="auto"/>
                <w:kern w:val="0"/>
                <w:sz w:val="28"/>
                <w:szCs w:val="28"/>
                <w:lang w:val="en-US" w:eastAsia="zh-CN"/>
              </w:rPr>
            </w:pPr>
            <w:r>
              <w:rPr>
                <w:rFonts w:hint="eastAsia" w:ascii="宋体" w:hAnsi="宋体" w:cs="宋体"/>
                <w:color w:val="auto"/>
                <w:kern w:val="0"/>
                <w:sz w:val="28"/>
                <w:szCs w:val="28"/>
                <w:lang w:val="en-US" w:eastAsia="zh-CN"/>
              </w:rPr>
              <w:t>0.016</w:t>
            </w:r>
          </w:p>
        </w:tc>
        <w:tc>
          <w:tcPr>
            <w:tcW w:w="1434"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8"/>
                <w:szCs w:val="28"/>
                <w:lang w:val="en-US" w:eastAsia="zh-CN"/>
              </w:rPr>
            </w:pPr>
            <w:r>
              <w:rPr>
                <w:rFonts w:hint="eastAsia" w:ascii="宋体" w:hAnsi="宋体" w:cs="宋体"/>
                <w:color w:val="auto"/>
                <w:kern w:val="0"/>
                <w:sz w:val="28"/>
                <w:szCs w:val="28"/>
                <w:lang w:val="en-US" w:eastAsia="zh-CN"/>
              </w:rPr>
              <w:t>0.4</w:t>
            </w:r>
          </w:p>
        </w:tc>
      </w:tr>
    </w:tbl>
    <w:p>
      <w:pPr>
        <w:numPr>
          <w:ilvl w:val="0"/>
          <w:numId w:val="0"/>
        </w:numPr>
        <w:spacing w:beforeLines="50" w:afterLines="50" w:line="360" w:lineRule="auto"/>
        <w:ind w:leftChars="200"/>
        <w:rPr>
          <w:rFonts w:hint="eastAsia" w:ascii="宋体" w:hAnsi="宋体"/>
          <w:bCs/>
          <w:sz w:val="28"/>
          <w:szCs w:val="28"/>
        </w:rPr>
      </w:pPr>
      <w:r>
        <w:rPr>
          <w:rFonts w:hint="eastAsia" w:ascii="宋体" w:hAnsi="宋体"/>
          <w:bCs/>
          <w:sz w:val="28"/>
          <w:szCs w:val="28"/>
          <w:lang w:val="en-US" w:eastAsia="zh-CN"/>
        </w:rPr>
        <w:t>3、</w:t>
      </w:r>
      <w:r>
        <w:rPr>
          <w:rFonts w:hint="eastAsia" w:ascii="宋体" w:hAnsi="宋体"/>
          <w:bCs/>
          <w:sz w:val="28"/>
          <w:szCs w:val="28"/>
        </w:rPr>
        <w:t>工艺流程图</w:t>
      </w:r>
    </w:p>
    <w:p>
      <w:pPr>
        <w:numPr>
          <w:ilvl w:val="0"/>
          <w:numId w:val="0"/>
        </w:numPr>
        <w:spacing w:beforeLines="50" w:afterLines="50" w:line="360" w:lineRule="auto"/>
        <w:ind w:leftChars="200"/>
        <w:rPr>
          <w:rFonts w:ascii="宋体" w:hAnsi="宋体"/>
          <w:bCs/>
          <w:sz w:val="28"/>
          <w:szCs w:val="28"/>
        </w:rPr>
      </w:pPr>
      <w:r>
        <w:drawing>
          <wp:inline distT="0" distB="0" distL="114300" distR="114300">
            <wp:extent cx="3705860" cy="2208530"/>
            <wp:effectExtent l="0" t="0" r="8890" b="127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4"/>
                    <a:stretch>
                      <a:fillRect/>
                    </a:stretch>
                  </pic:blipFill>
                  <pic:spPr>
                    <a:xfrm>
                      <a:off x="0" y="0"/>
                      <a:ext cx="3705860" cy="2208530"/>
                    </a:xfrm>
                    <a:prstGeom prst="rect">
                      <a:avLst/>
                    </a:prstGeom>
                    <a:noFill/>
                    <a:ln>
                      <a:noFill/>
                    </a:ln>
                  </pic:spPr>
                </pic:pic>
              </a:graphicData>
            </a:graphic>
          </wp:inline>
        </w:drawing>
      </w:r>
    </w:p>
    <w:p>
      <w:pPr>
        <w:spacing w:beforeLines="50" w:afterLines="50" w:line="360" w:lineRule="auto"/>
        <w:ind w:firstLine="560" w:firstLineChars="200"/>
        <w:rPr>
          <w:rFonts w:ascii="宋体"/>
          <w:bCs/>
          <w:sz w:val="28"/>
          <w:szCs w:val="28"/>
        </w:rPr>
      </w:pPr>
      <w:r>
        <w:rPr>
          <w:rFonts w:ascii="宋体" w:hAnsi="宋体"/>
          <w:bCs/>
          <w:sz w:val="28"/>
          <w:szCs w:val="28"/>
        </w:rPr>
        <w:t>4</w:t>
      </w:r>
      <w:r>
        <w:rPr>
          <w:rFonts w:hint="eastAsia" w:ascii="宋体" w:hAnsi="宋体"/>
          <w:bCs/>
          <w:sz w:val="28"/>
          <w:szCs w:val="28"/>
        </w:rPr>
        <w:t>、污染物治理工艺</w:t>
      </w:r>
    </w:p>
    <w:p>
      <w:pPr>
        <w:spacing w:beforeLines="50" w:afterLines="50" w:line="360" w:lineRule="auto"/>
        <w:ind w:firstLine="560" w:firstLineChars="200"/>
        <w:rPr>
          <w:rFonts w:hint="default" w:ascii="宋体" w:hAnsi="宋体" w:eastAsia="宋体"/>
          <w:bCs/>
          <w:sz w:val="28"/>
          <w:szCs w:val="28"/>
          <w:lang w:val="en-US" w:eastAsia="zh-CN"/>
        </w:rPr>
      </w:pPr>
      <w:r>
        <w:rPr>
          <w:rFonts w:ascii="宋体" w:hAnsi="宋体"/>
          <w:bCs/>
          <w:sz w:val="28"/>
          <w:szCs w:val="28"/>
        </w:rPr>
        <w:t>A2/O +</w:t>
      </w:r>
      <w:r>
        <w:rPr>
          <w:rFonts w:hint="eastAsia" w:ascii="宋体" w:hAnsi="宋体"/>
          <w:bCs/>
          <w:sz w:val="28"/>
          <w:szCs w:val="28"/>
        </w:rPr>
        <w:t>深度处理</w:t>
      </w:r>
      <w:r>
        <w:rPr>
          <w:rFonts w:hint="eastAsia" w:ascii="宋体" w:hAnsi="宋体"/>
          <w:bCs/>
          <w:sz w:val="28"/>
          <w:szCs w:val="28"/>
          <w:lang w:val="en-US" w:eastAsia="zh-CN"/>
        </w:rPr>
        <w:t>+消毒</w:t>
      </w:r>
    </w:p>
    <w:p>
      <w:pPr>
        <w:numPr>
          <w:ilvl w:val="0"/>
          <w:numId w:val="2"/>
        </w:numPr>
        <w:spacing w:beforeLines="50" w:afterLines="50" w:line="360" w:lineRule="auto"/>
        <w:ind w:firstLine="560" w:firstLineChars="200"/>
        <w:rPr>
          <w:rFonts w:hint="eastAsia" w:ascii="宋体" w:hAnsi="宋体"/>
          <w:bCs/>
          <w:sz w:val="28"/>
          <w:szCs w:val="28"/>
        </w:rPr>
      </w:pPr>
      <w:r>
        <w:rPr>
          <w:rFonts w:hint="eastAsia" w:ascii="宋体" w:hAnsi="宋体"/>
          <w:bCs/>
          <w:sz w:val="28"/>
          <w:szCs w:val="28"/>
        </w:rPr>
        <w:t>设计出水水质标准执行 GB18918-2002 中的一级标准 A 标准，其中 CODCr 执行《济南市人民政府办公厅关于提高部分排污企业水污染物排放执行标准的通知》（济政办字[2011]49 号）的要求 CODCr≤45mg/L；NH3-N、总磷执行《济南市人民政府办公厅关于济南市小清河流域执行水污染物区域排放限值的通知》（济政办字【2017】30 号）的要求。排放标准及限值</w:t>
      </w:r>
    </w:p>
    <w:tbl>
      <w:tblPr>
        <w:tblStyle w:val="2"/>
        <w:tblW w:w="10032" w:type="dxa"/>
        <w:tblInd w:w="-4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33"/>
        <w:gridCol w:w="1433"/>
        <w:gridCol w:w="1433"/>
        <w:gridCol w:w="1433"/>
        <w:gridCol w:w="1433"/>
        <w:gridCol w:w="1433"/>
        <w:gridCol w:w="14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trPr>
        <w:tc>
          <w:tcPr>
            <w:tcW w:w="143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 w:val="28"/>
                <w:szCs w:val="28"/>
              </w:rPr>
            </w:pPr>
            <w:r>
              <w:rPr>
                <w:rFonts w:ascii="宋体" w:hAnsi="宋体" w:cs="宋体"/>
                <w:kern w:val="0"/>
                <w:sz w:val="28"/>
                <w:szCs w:val="28"/>
              </w:rPr>
              <w:t>COD(mg/l)</w:t>
            </w:r>
          </w:p>
        </w:tc>
        <w:tc>
          <w:tcPr>
            <w:tcW w:w="1433"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28"/>
                <w:szCs w:val="28"/>
              </w:rPr>
            </w:pPr>
            <w:r>
              <w:rPr>
                <w:rFonts w:ascii="宋体" w:hAnsi="宋体" w:cs="宋体"/>
                <w:kern w:val="0"/>
                <w:sz w:val="28"/>
                <w:szCs w:val="28"/>
              </w:rPr>
              <w:t>PH(mg/l)</w:t>
            </w:r>
          </w:p>
        </w:tc>
        <w:tc>
          <w:tcPr>
            <w:tcW w:w="143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sz w:val="28"/>
                <w:szCs w:val="28"/>
              </w:rPr>
            </w:pPr>
            <w:r>
              <w:rPr>
                <w:rFonts w:ascii="宋体" w:hAnsi="宋体" w:cs="宋体"/>
                <w:kern w:val="0"/>
                <w:sz w:val="28"/>
                <w:szCs w:val="28"/>
              </w:rPr>
              <w:t>BOD(mg/l)</w:t>
            </w:r>
          </w:p>
        </w:tc>
        <w:tc>
          <w:tcPr>
            <w:tcW w:w="1433"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28"/>
                <w:szCs w:val="28"/>
              </w:rPr>
            </w:pPr>
            <w:r>
              <w:rPr>
                <w:rFonts w:ascii="宋体" w:hAnsi="宋体" w:cs="宋体"/>
                <w:kern w:val="0"/>
                <w:sz w:val="28"/>
                <w:szCs w:val="28"/>
              </w:rPr>
              <w:t>NH3-N(mg/l)</w:t>
            </w:r>
          </w:p>
        </w:tc>
        <w:tc>
          <w:tcPr>
            <w:tcW w:w="1433"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28"/>
                <w:szCs w:val="28"/>
              </w:rPr>
            </w:pPr>
            <w:r>
              <w:rPr>
                <w:rFonts w:ascii="宋体" w:hAnsi="宋体" w:cs="宋体"/>
                <w:kern w:val="0"/>
                <w:sz w:val="28"/>
                <w:szCs w:val="28"/>
              </w:rPr>
              <w:t>TN(mg/l)</w:t>
            </w:r>
          </w:p>
        </w:tc>
        <w:tc>
          <w:tcPr>
            <w:tcW w:w="1433"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28"/>
                <w:szCs w:val="28"/>
              </w:rPr>
            </w:pPr>
            <w:r>
              <w:rPr>
                <w:rFonts w:ascii="宋体" w:hAnsi="宋体" w:cs="宋体"/>
                <w:kern w:val="0"/>
                <w:sz w:val="28"/>
                <w:szCs w:val="28"/>
              </w:rPr>
              <w:t>TP(mg/l)</w:t>
            </w:r>
          </w:p>
        </w:tc>
        <w:tc>
          <w:tcPr>
            <w:tcW w:w="1434" w:type="dxa"/>
            <w:tcBorders>
              <w:top w:val="single" w:color="auto" w:sz="4" w:space="0"/>
              <w:left w:val="nil"/>
              <w:bottom w:val="single" w:color="auto" w:sz="4" w:space="0"/>
              <w:right w:val="single" w:color="auto" w:sz="4" w:space="0"/>
            </w:tcBorders>
            <w:vAlign w:val="center"/>
          </w:tcPr>
          <w:p>
            <w:pPr>
              <w:widowControl/>
              <w:jc w:val="center"/>
              <w:rPr>
                <w:rFonts w:ascii="宋体" w:cs="宋体"/>
                <w:kern w:val="0"/>
                <w:sz w:val="28"/>
                <w:szCs w:val="28"/>
              </w:rPr>
            </w:pPr>
            <w:r>
              <w:rPr>
                <w:rFonts w:ascii="宋体" w:hAnsi="宋体" w:cs="宋体"/>
                <w:kern w:val="0"/>
                <w:sz w:val="28"/>
                <w:szCs w:val="28"/>
              </w:rPr>
              <w:t>SS(mg/l)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trPr>
        <w:tc>
          <w:tcPr>
            <w:tcW w:w="1433" w:type="dxa"/>
            <w:tcBorders>
              <w:top w:val="nil"/>
              <w:left w:val="single" w:color="auto" w:sz="4" w:space="0"/>
              <w:bottom w:val="single" w:color="auto" w:sz="4" w:space="0"/>
              <w:right w:val="single" w:color="auto" w:sz="4" w:space="0"/>
            </w:tcBorders>
            <w:vAlign w:val="center"/>
          </w:tcPr>
          <w:p>
            <w:pPr>
              <w:widowControl/>
              <w:jc w:val="center"/>
              <w:rPr>
                <w:rFonts w:hint="default" w:ascii="宋体" w:eastAsia="宋体" w:cs="宋体"/>
                <w:kern w:val="0"/>
                <w:sz w:val="28"/>
                <w:szCs w:val="28"/>
                <w:lang w:val="en-US" w:eastAsia="zh-CN"/>
              </w:rPr>
            </w:pPr>
            <w:r>
              <w:rPr>
                <w:rFonts w:hint="eastAsia" w:ascii="宋体" w:hAnsi="宋体" w:cs="宋体"/>
                <w:kern w:val="0"/>
                <w:sz w:val="28"/>
                <w:szCs w:val="28"/>
              </w:rPr>
              <w:t>≤</w:t>
            </w:r>
            <w:r>
              <w:rPr>
                <w:rFonts w:hint="eastAsia" w:ascii="宋体" w:hAnsi="宋体" w:cs="宋体"/>
                <w:kern w:val="0"/>
                <w:sz w:val="28"/>
                <w:szCs w:val="28"/>
                <w:lang w:val="en-US" w:eastAsia="zh-CN"/>
              </w:rPr>
              <w:t>45</w:t>
            </w:r>
          </w:p>
        </w:tc>
        <w:tc>
          <w:tcPr>
            <w:tcW w:w="1433" w:type="dxa"/>
            <w:tcBorders>
              <w:top w:val="nil"/>
              <w:left w:val="nil"/>
              <w:bottom w:val="single" w:color="auto" w:sz="4" w:space="0"/>
              <w:right w:val="single" w:color="auto" w:sz="4" w:space="0"/>
            </w:tcBorders>
            <w:vAlign w:val="top"/>
          </w:tcPr>
          <w:p>
            <w:pPr>
              <w:widowControl/>
              <w:jc w:val="center"/>
              <w:rPr>
                <w:rFonts w:ascii="宋体" w:hAnsi="宋体" w:cs="宋体"/>
                <w:kern w:val="0"/>
                <w:sz w:val="28"/>
                <w:szCs w:val="28"/>
              </w:rPr>
            </w:pPr>
            <w:r>
              <w:rPr>
                <w:rFonts w:hint="eastAsia" w:ascii="宋体" w:hAnsi="宋体" w:cs="宋体"/>
                <w:kern w:val="0"/>
                <w:sz w:val="28"/>
                <w:szCs w:val="28"/>
              </w:rPr>
              <w:t>≤</w:t>
            </w:r>
            <w:r>
              <w:rPr>
                <w:rFonts w:ascii="宋体" w:hAnsi="宋体" w:cs="宋体"/>
                <w:kern w:val="0"/>
                <w:sz w:val="28"/>
                <w:szCs w:val="28"/>
              </w:rPr>
              <w:t>6-9</w:t>
            </w:r>
          </w:p>
        </w:tc>
        <w:tc>
          <w:tcPr>
            <w:tcW w:w="1433"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sz w:val="28"/>
                <w:szCs w:val="28"/>
              </w:rPr>
            </w:pPr>
            <w:r>
              <w:rPr>
                <w:rFonts w:hint="eastAsia" w:ascii="宋体" w:hAnsi="宋体" w:cs="宋体"/>
                <w:kern w:val="0"/>
                <w:sz w:val="28"/>
                <w:szCs w:val="28"/>
              </w:rPr>
              <w:t>≤</w:t>
            </w:r>
            <w:r>
              <w:rPr>
                <w:rFonts w:ascii="宋体" w:hAnsi="宋体" w:cs="宋体"/>
                <w:kern w:val="0"/>
                <w:sz w:val="28"/>
                <w:szCs w:val="28"/>
              </w:rPr>
              <w:t>10</w:t>
            </w:r>
          </w:p>
        </w:tc>
        <w:tc>
          <w:tcPr>
            <w:tcW w:w="1433" w:type="dxa"/>
            <w:tcBorders>
              <w:top w:val="nil"/>
              <w:left w:val="nil"/>
              <w:bottom w:val="single" w:color="auto" w:sz="4" w:space="0"/>
              <w:right w:val="single" w:color="auto" w:sz="4" w:space="0"/>
            </w:tcBorders>
            <w:vAlign w:val="center"/>
          </w:tcPr>
          <w:p>
            <w:pPr>
              <w:widowControl/>
              <w:jc w:val="center"/>
              <w:rPr>
                <w:rFonts w:ascii="宋体" w:cs="宋体"/>
                <w:kern w:val="0"/>
                <w:sz w:val="28"/>
                <w:szCs w:val="28"/>
              </w:rPr>
            </w:pPr>
            <w:r>
              <w:rPr>
                <w:rFonts w:hint="eastAsia" w:ascii="宋体" w:hAnsi="宋体" w:cs="宋体"/>
                <w:kern w:val="0"/>
                <w:sz w:val="28"/>
                <w:szCs w:val="28"/>
              </w:rPr>
              <w:t>≤</w:t>
            </w:r>
            <w:r>
              <w:rPr>
                <w:rFonts w:hint="eastAsia" w:ascii="宋体" w:hAnsi="宋体" w:cs="宋体"/>
                <w:kern w:val="0"/>
                <w:sz w:val="28"/>
                <w:szCs w:val="28"/>
                <w:lang w:val="en-US" w:eastAsia="zh-CN"/>
              </w:rPr>
              <w:t>2</w:t>
            </w:r>
            <w:r>
              <w:rPr>
                <w:rFonts w:ascii="宋体" w:hAnsi="宋体" w:cs="宋体"/>
                <w:kern w:val="0"/>
                <w:sz w:val="28"/>
                <w:szCs w:val="28"/>
              </w:rPr>
              <w:t>(</w:t>
            </w:r>
            <w:r>
              <w:rPr>
                <w:rFonts w:hint="eastAsia" w:ascii="宋体" w:hAnsi="宋体" w:cs="宋体"/>
                <w:kern w:val="0"/>
                <w:sz w:val="28"/>
                <w:szCs w:val="28"/>
                <w:lang w:val="en-US" w:eastAsia="zh-CN"/>
              </w:rPr>
              <w:t>3.5</w:t>
            </w:r>
            <w:r>
              <w:rPr>
                <w:rFonts w:ascii="宋体" w:hAnsi="宋体" w:cs="宋体"/>
                <w:kern w:val="0"/>
                <w:sz w:val="28"/>
                <w:szCs w:val="28"/>
              </w:rPr>
              <w:t>)</w:t>
            </w:r>
          </w:p>
        </w:tc>
        <w:tc>
          <w:tcPr>
            <w:tcW w:w="1433" w:type="dxa"/>
            <w:tcBorders>
              <w:top w:val="nil"/>
              <w:left w:val="nil"/>
              <w:bottom w:val="single" w:color="auto" w:sz="4" w:space="0"/>
              <w:right w:val="single" w:color="auto" w:sz="4" w:space="0"/>
            </w:tcBorders>
            <w:vAlign w:val="center"/>
          </w:tcPr>
          <w:p>
            <w:pPr>
              <w:widowControl/>
              <w:jc w:val="center"/>
              <w:rPr>
                <w:rFonts w:ascii="宋体" w:cs="宋体"/>
                <w:kern w:val="0"/>
                <w:sz w:val="28"/>
                <w:szCs w:val="28"/>
              </w:rPr>
            </w:pPr>
            <w:r>
              <w:rPr>
                <w:rFonts w:hint="eastAsia" w:ascii="宋体" w:hAnsi="宋体" w:cs="宋体"/>
                <w:kern w:val="0"/>
                <w:sz w:val="28"/>
                <w:szCs w:val="28"/>
              </w:rPr>
              <w:t>≤</w:t>
            </w:r>
            <w:r>
              <w:rPr>
                <w:rFonts w:ascii="宋体" w:hAnsi="宋体" w:cs="宋体"/>
                <w:kern w:val="0"/>
                <w:sz w:val="28"/>
                <w:szCs w:val="28"/>
              </w:rPr>
              <w:t>15</w:t>
            </w:r>
          </w:p>
        </w:tc>
        <w:tc>
          <w:tcPr>
            <w:tcW w:w="1433" w:type="dxa"/>
            <w:tcBorders>
              <w:top w:val="nil"/>
              <w:left w:val="nil"/>
              <w:bottom w:val="single" w:color="auto" w:sz="4" w:space="0"/>
              <w:right w:val="single" w:color="auto" w:sz="4" w:space="0"/>
            </w:tcBorders>
            <w:vAlign w:val="center"/>
          </w:tcPr>
          <w:p>
            <w:pPr>
              <w:widowControl/>
              <w:jc w:val="center"/>
              <w:rPr>
                <w:rFonts w:hint="eastAsia" w:ascii="宋体" w:eastAsia="宋体" w:cs="宋体"/>
                <w:kern w:val="0"/>
                <w:sz w:val="28"/>
                <w:szCs w:val="28"/>
                <w:lang w:eastAsia="zh-CN"/>
              </w:rPr>
            </w:pPr>
            <w:r>
              <w:rPr>
                <w:rFonts w:hint="eastAsia" w:ascii="宋体" w:hAnsi="宋体" w:cs="宋体"/>
                <w:kern w:val="0"/>
                <w:sz w:val="28"/>
                <w:szCs w:val="28"/>
              </w:rPr>
              <w:t>≤</w:t>
            </w:r>
            <w:r>
              <w:rPr>
                <w:rFonts w:ascii="宋体" w:hAnsi="宋体" w:cs="宋体"/>
                <w:kern w:val="0"/>
                <w:sz w:val="28"/>
                <w:szCs w:val="28"/>
              </w:rPr>
              <w:t>0.</w:t>
            </w:r>
            <w:r>
              <w:rPr>
                <w:rFonts w:hint="eastAsia" w:ascii="宋体" w:hAnsi="宋体" w:cs="宋体"/>
                <w:kern w:val="0"/>
                <w:sz w:val="28"/>
                <w:szCs w:val="28"/>
                <w:lang w:val="en-US" w:eastAsia="zh-CN"/>
              </w:rPr>
              <w:t>4</w:t>
            </w:r>
          </w:p>
        </w:tc>
        <w:tc>
          <w:tcPr>
            <w:tcW w:w="1434" w:type="dxa"/>
            <w:tcBorders>
              <w:top w:val="nil"/>
              <w:left w:val="nil"/>
              <w:bottom w:val="single" w:color="auto" w:sz="4" w:space="0"/>
              <w:right w:val="single" w:color="auto" w:sz="4" w:space="0"/>
            </w:tcBorders>
            <w:vAlign w:val="center"/>
          </w:tcPr>
          <w:p>
            <w:pPr>
              <w:widowControl/>
              <w:jc w:val="center"/>
              <w:rPr>
                <w:rFonts w:ascii="宋体" w:cs="宋体"/>
                <w:kern w:val="0"/>
                <w:sz w:val="28"/>
                <w:szCs w:val="28"/>
              </w:rPr>
            </w:pPr>
            <w:r>
              <w:rPr>
                <w:rFonts w:hint="eastAsia" w:ascii="宋体" w:hAnsi="宋体" w:cs="宋体"/>
                <w:kern w:val="0"/>
                <w:sz w:val="28"/>
                <w:szCs w:val="28"/>
              </w:rPr>
              <w:t>≤</w:t>
            </w:r>
            <w:r>
              <w:rPr>
                <w:rFonts w:ascii="宋体" w:hAnsi="宋体" w:cs="宋体"/>
                <w:kern w:val="0"/>
                <w:sz w:val="28"/>
                <w:szCs w:val="28"/>
              </w:rPr>
              <w:t>10</w:t>
            </w:r>
          </w:p>
        </w:tc>
      </w:tr>
    </w:tbl>
    <w:p>
      <w:pPr>
        <w:spacing w:beforeLines="50" w:afterLines="50" w:line="360" w:lineRule="auto"/>
        <w:ind w:firstLine="560" w:firstLineChars="200"/>
        <w:rPr>
          <w:rFonts w:ascii="宋体"/>
          <w:bCs/>
          <w:sz w:val="28"/>
          <w:szCs w:val="28"/>
        </w:rPr>
      </w:pPr>
      <w:r>
        <w:rPr>
          <w:rFonts w:ascii="宋体" w:hAnsi="宋体"/>
          <w:bCs/>
          <w:sz w:val="28"/>
          <w:szCs w:val="28"/>
        </w:rPr>
        <w:t>6</w:t>
      </w:r>
      <w:r>
        <w:rPr>
          <w:rFonts w:hint="eastAsia" w:ascii="宋体" w:hAnsi="宋体"/>
          <w:bCs/>
          <w:sz w:val="28"/>
          <w:szCs w:val="28"/>
        </w:rPr>
        <w:t>、污染物最终去向：</w:t>
      </w:r>
      <w:r>
        <w:rPr>
          <w:rFonts w:hint="eastAsia" w:ascii="宋体" w:hAnsi="宋体"/>
          <w:bCs/>
          <w:sz w:val="28"/>
          <w:szCs w:val="28"/>
          <w:lang w:val="en-US" w:eastAsia="zh-CN"/>
        </w:rPr>
        <w:t>腊山河分洪道</w:t>
      </w:r>
      <w:r>
        <w:rPr>
          <w:rFonts w:hint="eastAsia" w:ascii="宋体" w:hAnsi="宋体"/>
          <w:bCs/>
          <w:sz w:val="28"/>
          <w:szCs w:val="28"/>
        </w:rPr>
        <w:t>。</w:t>
      </w:r>
    </w:p>
    <w:p>
      <w:pPr>
        <w:spacing w:beforeLines="50" w:afterLines="50" w:line="360" w:lineRule="auto"/>
        <w:ind w:firstLine="560" w:firstLineChars="200"/>
        <w:rPr>
          <w:rFonts w:ascii="宋体"/>
          <w:bCs/>
          <w:sz w:val="28"/>
          <w:szCs w:val="28"/>
        </w:rPr>
      </w:pPr>
      <w:r>
        <w:rPr>
          <w:rFonts w:ascii="宋体" w:hAnsi="宋体"/>
          <w:bCs/>
          <w:sz w:val="28"/>
          <w:szCs w:val="28"/>
        </w:rPr>
        <w:t>7</w:t>
      </w:r>
      <w:r>
        <w:rPr>
          <w:rFonts w:hint="eastAsia" w:ascii="宋体" w:hAnsi="宋体"/>
          <w:bCs/>
          <w:sz w:val="28"/>
          <w:szCs w:val="28"/>
        </w:rPr>
        <w:t>、厂界噪声</w:t>
      </w:r>
    </w:p>
    <w:p>
      <w:pPr>
        <w:spacing w:beforeLines="50" w:afterLines="50" w:line="360" w:lineRule="auto"/>
        <w:ind w:firstLine="560" w:firstLineChars="200"/>
        <w:rPr>
          <w:rFonts w:ascii="宋体"/>
          <w:bCs/>
          <w:sz w:val="28"/>
          <w:szCs w:val="28"/>
        </w:rPr>
      </w:pPr>
      <w:r>
        <w:rPr>
          <w:rFonts w:hint="eastAsia" w:ascii="宋体" w:hAnsi="宋体"/>
          <w:bCs/>
          <w:sz w:val="28"/>
          <w:szCs w:val="28"/>
        </w:rPr>
        <w:t>厂界噪声主要产污点为鼓风机，我厂已在鼓风机房加装了隔音墙，厂界噪声满足</w:t>
      </w:r>
      <w:r>
        <w:rPr>
          <w:rFonts w:ascii="宋体" w:hAnsi="宋体"/>
          <w:bCs/>
          <w:sz w:val="28"/>
          <w:szCs w:val="28"/>
        </w:rPr>
        <w:t>GB3096-2008</w:t>
      </w:r>
      <w:r>
        <w:rPr>
          <w:rFonts w:hint="eastAsia" w:ascii="宋体" w:hAnsi="宋体"/>
          <w:bCs/>
          <w:sz w:val="28"/>
          <w:szCs w:val="28"/>
        </w:rPr>
        <w:t>《声环境质量标准》要求。</w:t>
      </w:r>
    </w:p>
    <w:p>
      <w:pPr>
        <w:spacing w:line="380" w:lineRule="exact"/>
        <w:ind w:firstLine="640" w:firstLineChars="200"/>
        <w:rPr>
          <w:rFonts w:ascii="黑体" w:eastAsia="黑体"/>
          <w:bCs/>
          <w:sz w:val="32"/>
          <w:szCs w:val="32"/>
        </w:rPr>
      </w:pPr>
      <w:r>
        <w:rPr>
          <w:rFonts w:hint="eastAsia" w:ascii="黑体" w:hAnsi="宋体" w:eastAsia="黑体"/>
          <w:bCs/>
          <w:sz w:val="32"/>
          <w:szCs w:val="32"/>
        </w:rPr>
        <w:t>二、监测内容</w:t>
      </w:r>
    </w:p>
    <w:p>
      <w:pPr>
        <w:spacing w:beforeLines="50" w:afterLines="50" w:line="360" w:lineRule="auto"/>
        <w:ind w:firstLine="560" w:firstLineChars="200"/>
        <w:rPr>
          <w:rFonts w:ascii="宋体"/>
          <w:bCs/>
          <w:sz w:val="28"/>
          <w:szCs w:val="28"/>
        </w:rPr>
      </w:pPr>
      <w:r>
        <w:rPr>
          <w:rFonts w:hint="eastAsia" w:ascii="宋体" w:hAnsi="宋体"/>
          <w:bCs/>
          <w:sz w:val="28"/>
          <w:szCs w:val="28"/>
        </w:rPr>
        <w:t>按照下表填写。</w:t>
      </w:r>
    </w:p>
    <w:p>
      <w:pPr>
        <w:widowControl/>
        <w:jc w:val="left"/>
        <w:rPr>
          <w:rFonts w:ascii="宋体"/>
          <w:bCs/>
          <w:sz w:val="28"/>
          <w:szCs w:val="28"/>
        </w:rPr>
        <w:sectPr>
          <w:pgSz w:w="11906" w:h="16838"/>
          <w:pgMar w:top="1246" w:right="1588" w:bottom="1091" w:left="1588" w:header="851" w:footer="992" w:gutter="0"/>
          <w:cols w:space="720" w:num="1"/>
          <w:docGrid w:type="lines" w:linePitch="312" w:charSpace="0"/>
        </w:sectPr>
      </w:pPr>
    </w:p>
    <w:p>
      <w:pPr>
        <w:spacing w:line="380" w:lineRule="exact"/>
        <w:jc w:val="center"/>
        <w:rPr>
          <w:rFonts w:ascii="黑体" w:hAnsi="黑体" w:eastAsia="黑体"/>
          <w:b/>
          <w:sz w:val="32"/>
          <w:szCs w:val="32"/>
        </w:rPr>
      </w:pPr>
      <w:r>
        <w:rPr>
          <w:rFonts w:hint="eastAsia" w:ascii="黑体" w:hAnsi="黑体" w:eastAsia="黑体"/>
          <w:b/>
          <w:sz w:val="32"/>
          <w:szCs w:val="32"/>
        </w:rPr>
        <w:t>自行监测内容表</w:t>
      </w:r>
    </w:p>
    <w:tbl>
      <w:tblPr>
        <w:tblStyle w:val="2"/>
        <w:tblW w:w="1371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59"/>
        <w:gridCol w:w="1698"/>
        <w:gridCol w:w="1314"/>
        <w:gridCol w:w="2836"/>
        <w:gridCol w:w="1092"/>
        <w:gridCol w:w="1717"/>
        <w:gridCol w:w="1550"/>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41" w:type="dxa"/>
            <w:gridSpan w:val="2"/>
            <w:tcBorders>
              <w:top w:val="single" w:color="auto" w:sz="12" w:space="0"/>
              <w:bottom w:val="single" w:color="auto" w:sz="12" w:space="0"/>
              <w:tl2br w:val="single" w:color="auto" w:sz="4" w:space="0"/>
            </w:tcBorders>
            <w:vAlign w:val="center"/>
          </w:tcPr>
          <w:p>
            <w:pPr>
              <w:spacing w:line="320" w:lineRule="exact"/>
              <w:ind w:firstLine="843" w:firstLineChars="350"/>
              <w:jc w:val="center"/>
              <w:rPr>
                <w:rFonts w:ascii="黑体" w:hAnsi="黑体" w:eastAsia="黑体"/>
                <w:b/>
                <w:sz w:val="24"/>
              </w:rPr>
            </w:pPr>
            <w:r>
              <w:rPr>
                <w:rFonts w:hint="eastAsia" w:ascii="黑体" w:hAnsi="黑体" w:eastAsia="黑体"/>
                <w:b/>
                <w:sz w:val="24"/>
              </w:rPr>
              <w:t>监测项目</w:t>
            </w:r>
          </w:p>
          <w:p>
            <w:pPr>
              <w:spacing w:line="320" w:lineRule="exact"/>
              <w:rPr>
                <w:rFonts w:ascii="黑体" w:hAnsi="黑体" w:eastAsia="黑体"/>
                <w:b/>
                <w:sz w:val="24"/>
              </w:rPr>
            </w:pPr>
            <w:r>
              <w:rPr>
                <w:rFonts w:hint="eastAsia" w:ascii="黑体" w:hAnsi="黑体" w:eastAsia="黑体"/>
                <w:b/>
                <w:sz w:val="24"/>
              </w:rPr>
              <w:t>监测内容</w:t>
            </w:r>
          </w:p>
        </w:tc>
        <w:tc>
          <w:tcPr>
            <w:tcW w:w="1698"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监测点位</w:t>
            </w:r>
          </w:p>
        </w:tc>
        <w:tc>
          <w:tcPr>
            <w:tcW w:w="1314"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监测频次</w:t>
            </w:r>
          </w:p>
        </w:tc>
        <w:tc>
          <w:tcPr>
            <w:tcW w:w="2836"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执行排放标准</w:t>
            </w:r>
          </w:p>
        </w:tc>
        <w:tc>
          <w:tcPr>
            <w:tcW w:w="1092"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标准限值</w:t>
            </w:r>
          </w:p>
        </w:tc>
        <w:tc>
          <w:tcPr>
            <w:tcW w:w="1717"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监测方法</w:t>
            </w:r>
          </w:p>
        </w:tc>
        <w:tc>
          <w:tcPr>
            <w:tcW w:w="1550"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分析仪器</w:t>
            </w:r>
          </w:p>
        </w:tc>
        <w:tc>
          <w:tcPr>
            <w:tcW w:w="1267"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82" w:type="dxa"/>
            <w:vMerge w:val="restart"/>
            <w:tcBorders>
              <w:top w:val="single" w:color="auto" w:sz="12" w:space="0"/>
            </w:tcBorders>
            <w:vAlign w:val="center"/>
          </w:tcPr>
          <w:p>
            <w:pPr>
              <w:spacing w:line="320" w:lineRule="exact"/>
              <w:jc w:val="center"/>
              <w:rPr>
                <w:rFonts w:ascii="黑体" w:hAnsi="黑体" w:eastAsia="黑体"/>
                <w:b/>
                <w:bCs/>
                <w:sz w:val="24"/>
              </w:rPr>
            </w:pPr>
            <w:r>
              <w:rPr>
                <w:rFonts w:hint="eastAsia" w:ascii="黑体" w:hAnsi="黑体" w:eastAsia="黑体"/>
                <w:b/>
                <w:bCs/>
                <w:sz w:val="24"/>
              </w:rPr>
              <w:t>监</w:t>
            </w:r>
          </w:p>
          <w:p>
            <w:pPr>
              <w:spacing w:line="320" w:lineRule="exact"/>
              <w:jc w:val="center"/>
              <w:rPr>
                <w:rFonts w:ascii="黑体" w:hAnsi="黑体" w:eastAsia="黑体"/>
                <w:b/>
                <w:bCs/>
                <w:sz w:val="24"/>
              </w:rPr>
            </w:pPr>
            <w:r>
              <w:rPr>
                <w:rFonts w:hint="eastAsia" w:ascii="黑体" w:hAnsi="黑体" w:eastAsia="黑体"/>
                <w:b/>
                <w:bCs/>
                <w:sz w:val="24"/>
              </w:rPr>
              <w:t>测</w:t>
            </w:r>
          </w:p>
          <w:p>
            <w:pPr>
              <w:spacing w:line="320" w:lineRule="exact"/>
              <w:jc w:val="center"/>
              <w:rPr>
                <w:rFonts w:ascii="黑体" w:hAnsi="黑体" w:eastAsia="黑体"/>
                <w:b/>
                <w:bCs/>
                <w:sz w:val="24"/>
              </w:rPr>
            </w:pPr>
            <w:r>
              <w:rPr>
                <w:rFonts w:hint="eastAsia" w:ascii="黑体" w:hAnsi="黑体" w:eastAsia="黑体"/>
                <w:b/>
                <w:bCs/>
                <w:sz w:val="24"/>
              </w:rPr>
              <w:t>指</w:t>
            </w:r>
          </w:p>
          <w:p>
            <w:pPr>
              <w:spacing w:line="320" w:lineRule="exact"/>
              <w:jc w:val="center"/>
              <w:rPr>
                <w:rFonts w:ascii="黑体" w:hAnsi="黑体" w:eastAsia="黑体"/>
                <w:b/>
                <w:bCs/>
                <w:sz w:val="24"/>
              </w:rPr>
            </w:pPr>
            <w:r>
              <w:rPr>
                <w:rFonts w:hint="eastAsia" w:ascii="黑体" w:hAnsi="黑体" w:eastAsia="黑体"/>
                <w:b/>
                <w:bCs/>
                <w:sz w:val="24"/>
              </w:rPr>
              <w:t>标</w:t>
            </w:r>
          </w:p>
          <w:p>
            <w:pPr>
              <w:spacing w:line="320" w:lineRule="exact"/>
              <w:jc w:val="center"/>
              <w:rPr>
                <w:bCs/>
                <w:sz w:val="24"/>
              </w:rPr>
            </w:pPr>
          </w:p>
        </w:tc>
        <w:tc>
          <w:tcPr>
            <w:tcW w:w="1459" w:type="dxa"/>
            <w:tcBorders>
              <w:top w:val="single" w:color="auto" w:sz="12" w:space="0"/>
            </w:tcBorders>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COD</w:t>
            </w:r>
          </w:p>
        </w:tc>
        <w:tc>
          <w:tcPr>
            <w:tcW w:w="1698"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color w:val="000000"/>
                <w:kern w:val="0"/>
                <w:sz w:val="24"/>
                <w:highlight w:val="none"/>
              </w:rPr>
              <w:t>总出水口</w:t>
            </w:r>
          </w:p>
        </w:tc>
        <w:tc>
          <w:tcPr>
            <w:tcW w:w="1314" w:type="dxa"/>
            <w:vAlign w:val="center"/>
          </w:tcPr>
          <w:p>
            <w:pPr>
              <w:spacing w:line="320" w:lineRule="exact"/>
              <w:jc w:val="center"/>
              <w:rPr>
                <w:rFonts w:hint="eastAsia" w:ascii="宋体" w:hAnsi="宋体" w:eastAsia="宋体" w:cs="宋体"/>
                <w:sz w:val="24"/>
                <w:highlight w:val="none"/>
                <w:lang w:eastAsia="zh-CN"/>
              </w:rPr>
            </w:pPr>
            <w:r>
              <w:rPr>
                <w:rFonts w:hint="eastAsia" w:ascii="宋体" w:hAnsi="宋体" w:cs="宋体"/>
                <w:color w:val="000000"/>
                <w:kern w:val="0"/>
                <w:sz w:val="24"/>
                <w:highlight w:val="none"/>
                <w:lang w:eastAsia="zh-CN"/>
              </w:rPr>
              <w:t>自动</w:t>
            </w:r>
            <w:r>
              <w:rPr>
                <w:rFonts w:hint="eastAsia" w:ascii="宋体" w:hAnsi="宋体" w:eastAsia="宋体" w:cs="宋体"/>
                <w:color w:val="000000"/>
                <w:kern w:val="0"/>
                <w:sz w:val="24"/>
                <w:highlight w:val="none"/>
                <w:lang w:eastAsia="zh-CN"/>
              </w:rPr>
              <w:t>监测</w:t>
            </w:r>
          </w:p>
        </w:tc>
        <w:tc>
          <w:tcPr>
            <w:tcW w:w="2836" w:type="dxa"/>
            <w:vAlign w:val="center"/>
          </w:tcPr>
          <w:p>
            <w:pPr>
              <w:spacing w:line="320" w:lineRule="exact"/>
              <w:jc w:val="center"/>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eastAsia="zh-CN"/>
              </w:rPr>
              <w:t>《济南市人民政府办公厅关于提高部分排污企业水污染物排放执行标准的通知》（济政办字[2011]49 号）</w:t>
            </w:r>
          </w:p>
        </w:tc>
        <w:tc>
          <w:tcPr>
            <w:tcW w:w="1092" w:type="dxa"/>
            <w:vAlign w:val="center"/>
          </w:tcPr>
          <w:p>
            <w:pPr>
              <w:spacing w:line="320" w:lineRule="exact"/>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45</w:t>
            </w:r>
          </w:p>
        </w:tc>
        <w:tc>
          <w:tcPr>
            <w:tcW w:w="1717" w:type="dxa"/>
            <w:vAlign w:val="center"/>
          </w:tcPr>
          <w:p>
            <w:pPr>
              <w:spacing w:line="380" w:lineRule="exact"/>
              <w:jc w:val="center"/>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重铬酸盐法</w:t>
            </w:r>
          </w:p>
        </w:tc>
        <w:tc>
          <w:tcPr>
            <w:tcW w:w="1550" w:type="dxa"/>
            <w:vAlign w:val="center"/>
          </w:tcPr>
          <w:p>
            <w:pPr>
              <w:spacing w:line="320" w:lineRule="exact"/>
              <w:jc w:val="center"/>
              <w:rPr>
                <w:rFonts w:hint="eastAsia" w:ascii="宋体" w:hAnsi="宋体" w:eastAsia="宋体" w:cs="宋体"/>
                <w:sz w:val="24"/>
                <w:highlight w:val="none"/>
                <w:lang w:eastAsia="zh-CN"/>
              </w:rPr>
            </w:pPr>
            <w:r>
              <w:rPr>
                <w:rFonts w:hint="eastAsia" w:ascii="宋体" w:hAnsi="宋体" w:cs="宋体"/>
                <w:sz w:val="24"/>
                <w:highlight w:val="none"/>
                <w:lang w:val="en-US" w:eastAsia="zh-CN"/>
              </w:rPr>
              <w:t>COD</w:t>
            </w:r>
            <w:r>
              <w:rPr>
                <w:rFonts w:hint="eastAsia" w:ascii="宋体" w:hAnsi="宋体" w:cs="宋体"/>
                <w:sz w:val="24"/>
                <w:highlight w:val="none"/>
                <w:lang w:eastAsia="zh-CN"/>
              </w:rPr>
              <w:t>自动分析仪</w:t>
            </w:r>
          </w:p>
        </w:tc>
        <w:tc>
          <w:tcPr>
            <w:tcW w:w="1267" w:type="dxa"/>
            <w:vAlign w:val="top"/>
          </w:tcPr>
          <w:p>
            <w:pPr>
              <w:spacing w:line="320" w:lineRule="exact"/>
              <w:jc w:val="center"/>
              <w:rPr>
                <w:rFonts w:hint="eastAsia" w:ascii="宋体" w:hAnsi="宋体" w:eastAsia="宋体" w:cs="宋体"/>
                <w:sz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782" w:type="dxa"/>
            <w:vMerge w:val="continue"/>
            <w:vAlign w:val="center"/>
          </w:tcPr>
          <w:p>
            <w:pPr>
              <w:spacing w:line="320" w:lineRule="exact"/>
              <w:jc w:val="center"/>
              <w:rPr>
                <w:sz w:val="24"/>
              </w:rPr>
            </w:pPr>
          </w:p>
        </w:tc>
        <w:tc>
          <w:tcPr>
            <w:tcW w:w="1459"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NH</w:t>
            </w:r>
            <w:r>
              <w:rPr>
                <w:rFonts w:hint="eastAsia" w:ascii="宋体" w:hAnsi="宋体" w:eastAsia="宋体" w:cs="宋体"/>
                <w:sz w:val="24"/>
                <w:highlight w:val="none"/>
                <w:vertAlign w:val="subscript"/>
              </w:rPr>
              <w:t>3</w:t>
            </w:r>
            <w:r>
              <w:rPr>
                <w:rFonts w:hint="eastAsia" w:ascii="宋体" w:hAnsi="宋体" w:eastAsia="宋体" w:cs="宋体"/>
                <w:sz w:val="24"/>
                <w:highlight w:val="none"/>
              </w:rPr>
              <w:t>-N</w:t>
            </w:r>
          </w:p>
        </w:tc>
        <w:tc>
          <w:tcPr>
            <w:tcW w:w="1698"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color w:val="000000"/>
                <w:kern w:val="0"/>
                <w:sz w:val="24"/>
                <w:highlight w:val="none"/>
              </w:rPr>
              <w:t>总出水口</w:t>
            </w:r>
          </w:p>
        </w:tc>
        <w:tc>
          <w:tcPr>
            <w:tcW w:w="1314" w:type="dxa"/>
            <w:vAlign w:val="center"/>
          </w:tcPr>
          <w:p>
            <w:pPr>
              <w:spacing w:line="320" w:lineRule="exact"/>
              <w:jc w:val="center"/>
              <w:rPr>
                <w:rFonts w:hint="eastAsia" w:ascii="宋体" w:hAnsi="宋体" w:eastAsia="宋体" w:cs="宋体"/>
                <w:sz w:val="24"/>
                <w:highlight w:val="none"/>
                <w:lang w:eastAsia="zh-CN"/>
              </w:rPr>
            </w:pPr>
            <w:r>
              <w:rPr>
                <w:rFonts w:hint="eastAsia" w:ascii="宋体" w:hAnsi="宋体" w:cs="宋体"/>
                <w:color w:val="000000"/>
                <w:kern w:val="0"/>
                <w:sz w:val="24"/>
                <w:highlight w:val="none"/>
                <w:lang w:eastAsia="zh-CN"/>
              </w:rPr>
              <w:t>自动</w:t>
            </w:r>
            <w:r>
              <w:rPr>
                <w:rFonts w:hint="eastAsia" w:ascii="宋体" w:hAnsi="宋体" w:eastAsia="宋体" w:cs="宋体"/>
                <w:color w:val="000000"/>
                <w:kern w:val="0"/>
                <w:sz w:val="24"/>
                <w:highlight w:val="none"/>
                <w:lang w:eastAsia="zh-CN"/>
              </w:rPr>
              <w:t>监测</w:t>
            </w:r>
          </w:p>
        </w:tc>
        <w:tc>
          <w:tcPr>
            <w:tcW w:w="2836"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18"/>
                <w:szCs w:val="18"/>
                <w:highlight w:val="none"/>
                <w:lang w:eastAsia="zh-CN"/>
              </w:rPr>
              <w:t>《济南市人民政府办公厅关于济南市小清河流域执行水污染物区域排放限值的通知》（济政办字【2017】30 号）</w:t>
            </w:r>
          </w:p>
        </w:tc>
        <w:tc>
          <w:tcPr>
            <w:tcW w:w="1092" w:type="dxa"/>
            <w:vAlign w:val="center"/>
          </w:tcPr>
          <w:p>
            <w:pPr>
              <w:spacing w:line="320" w:lineRule="exact"/>
              <w:jc w:val="center"/>
              <w:rPr>
                <w:rFonts w:hint="eastAsia" w:ascii="宋体" w:hAnsi="宋体" w:eastAsia="宋体" w:cs="宋体"/>
                <w:sz w:val="24"/>
                <w:highlight w:val="none"/>
              </w:rPr>
            </w:pPr>
            <w:r>
              <w:rPr>
                <w:rFonts w:hint="eastAsia" w:ascii="宋体" w:hAnsi="宋体" w:cs="宋体"/>
                <w:sz w:val="24"/>
                <w:highlight w:val="none"/>
                <w:lang w:val="en-US" w:eastAsia="zh-CN"/>
              </w:rPr>
              <w:t>2</w:t>
            </w:r>
            <w:r>
              <w:rPr>
                <w:rFonts w:hint="eastAsia" w:ascii="宋体" w:hAnsi="宋体" w:eastAsia="宋体" w:cs="宋体"/>
                <w:sz w:val="24"/>
                <w:highlight w:val="none"/>
              </w:rPr>
              <w:t>（</w:t>
            </w:r>
            <w:r>
              <w:rPr>
                <w:rFonts w:hint="eastAsia" w:ascii="宋体" w:hAnsi="宋体" w:cs="宋体"/>
                <w:sz w:val="24"/>
                <w:highlight w:val="none"/>
                <w:lang w:val="en-US" w:eastAsia="zh-CN"/>
              </w:rPr>
              <w:t>3.5</w:t>
            </w:r>
            <w:r>
              <w:rPr>
                <w:rFonts w:hint="eastAsia" w:ascii="宋体" w:hAnsi="宋体" w:eastAsia="宋体" w:cs="宋体"/>
                <w:sz w:val="24"/>
                <w:highlight w:val="none"/>
              </w:rPr>
              <w:t>）</w:t>
            </w:r>
          </w:p>
        </w:tc>
        <w:tc>
          <w:tcPr>
            <w:tcW w:w="1717" w:type="dxa"/>
            <w:vAlign w:val="center"/>
          </w:tcPr>
          <w:p>
            <w:pPr>
              <w:spacing w:line="320" w:lineRule="exact"/>
              <w:jc w:val="center"/>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快速消解分光光度法</w:t>
            </w:r>
          </w:p>
        </w:tc>
        <w:tc>
          <w:tcPr>
            <w:tcW w:w="1550" w:type="dxa"/>
            <w:vAlign w:val="center"/>
          </w:tcPr>
          <w:p>
            <w:pPr>
              <w:spacing w:line="320" w:lineRule="exact"/>
              <w:jc w:val="center"/>
              <w:rPr>
                <w:rFonts w:hint="eastAsia" w:ascii="宋体" w:hAnsi="宋体" w:eastAsia="宋体" w:cs="宋体"/>
                <w:sz w:val="24"/>
                <w:highlight w:val="none"/>
              </w:rPr>
            </w:pPr>
            <w:r>
              <w:rPr>
                <w:rFonts w:hint="eastAsia" w:ascii="宋体" w:hAnsi="宋体" w:cs="宋体"/>
                <w:sz w:val="24"/>
                <w:highlight w:val="none"/>
                <w:lang w:eastAsia="zh-CN"/>
              </w:rPr>
              <w:t>氨氮自动分析仪</w:t>
            </w:r>
          </w:p>
        </w:tc>
        <w:tc>
          <w:tcPr>
            <w:tcW w:w="1267" w:type="dxa"/>
            <w:vAlign w:val="top"/>
          </w:tcPr>
          <w:p>
            <w:pPr>
              <w:jc w:val="center"/>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82" w:type="dxa"/>
            <w:vMerge w:val="continue"/>
            <w:vAlign w:val="center"/>
          </w:tcPr>
          <w:p>
            <w:pPr>
              <w:spacing w:line="320" w:lineRule="exact"/>
              <w:jc w:val="center"/>
              <w:rPr>
                <w:sz w:val="24"/>
              </w:rPr>
            </w:pPr>
          </w:p>
        </w:tc>
        <w:tc>
          <w:tcPr>
            <w:tcW w:w="1459" w:type="dxa"/>
            <w:vAlign w:val="center"/>
          </w:tcPr>
          <w:p>
            <w:pPr>
              <w:spacing w:line="320" w:lineRule="exact"/>
              <w:jc w:val="center"/>
              <w:rPr>
                <w:rFonts w:hint="eastAsia" w:ascii="宋体" w:hAnsi="宋体" w:eastAsia="宋体" w:cs="宋体"/>
                <w:sz w:val="24"/>
                <w:highlight w:val="none"/>
                <w:lang w:eastAsia="zh-CN"/>
              </w:rPr>
            </w:pPr>
            <w:r>
              <w:rPr>
                <w:rFonts w:hint="eastAsia" w:ascii="宋体" w:hAnsi="宋体" w:cs="宋体"/>
                <w:sz w:val="24"/>
                <w:highlight w:val="none"/>
                <w:lang w:eastAsia="zh-CN"/>
              </w:rPr>
              <w:t>流量</w:t>
            </w:r>
          </w:p>
        </w:tc>
        <w:tc>
          <w:tcPr>
            <w:tcW w:w="1698" w:type="dxa"/>
            <w:vAlign w:val="center"/>
          </w:tcPr>
          <w:p>
            <w:pPr>
              <w:spacing w:line="320" w:lineRule="exact"/>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总出水口</w:t>
            </w:r>
          </w:p>
        </w:tc>
        <w:tc>
          <w:tcPr>
            <w:tcW w:w="1314" w:type="dxa"/>
            <w:vAlign w:val="center"/>
          </w:tcPr>
          <w:p>
            <w:pPr>
              <w:spacing w:line="320" w:lineRule="exact"/>
              <w:jc w:val="center"/>
              <w:rPr>
                <w:rFonts w:hint="eastAsia" w:ascii="宋体" w:hAnsi="宋体" w:cs="宋体"/>
                <w:color w:val="000000"/>
                <w:kern w:val="0"/>
                <w:sz w:val="24"/>
                <w:highlight w:val="none"/>
                <w:lang w:eastAsia="zh-CN"/>
              </w:rPr>
            </w:pPr>
            <w:r>
              <w:rPr>
                <w:rFonts w:hint="eastAsia" w:ascii="宋体" w:hAnsi="宋体" w:cs="宋体"/>
                <w:color w:val="000000"/>
                <w:kern w:val="0"/>
                <w:sz w:val="24"/>
                <w:highlight w:val="none"/>
                <w:lang w:eastAsia="zh-CN"/>
              </w:rPr>
              <w:t>自动</w:t>
            </w:r>
            <w:r>
              <w:rPr>
                <w:rFonts w:hint="eastAsia" w:ascii="宋体" w:hAnsi="宋体" w:eastAsia="宋体" w:cs="宋体"/>
                <w:color w:val="000000"/>
                <w:kern w:val="0"/>
                <w:sz w:val="24"/>
                <w:highlight w:val="none"/>
                <w:lang w:eastAsia="zh-CN"/>
              </w:rPr>
              <w:t>监测</w:t>
            </w:r>
          </w:p>
        </w:tc>
        <w:tc>
          <w:tcPr>
            <w:tcW w:w="2836" w:type="dxa"/>
            <w:vAlign w:val="center"/>
          </w:tcPr>
          <w:p>
            <w:pPr>
              <w:spacing w:line="320" w:lineRule="exact"/>
              <w:jc w:val="center"/>
              <w:rPr>
                <w:rFonts w:hint="eastAsia" w:ascii="宋体" w:hAnsi="宋体" w:cs="宋体"/>
                <w:bCs/>
                <w:sz w:val="18"/>
                <w:szCs w:val="18"/>
                <w:highlight w:val="none"/>
                <w:lang w:eastAsia="zh-CN"/>
              </w:rPr>
            </w:pPr>
          </w:p>
        </w:tc>
        <w:tc>
          <w:tcPr>
            <w:tcW w:w="1092" w:type="dxa"/>
            <w:vAlign w:val="center"/>
          </w:tcPr>
          <w:p>
            <w:pPr>
              <w:spacing w:line="320" w:lineRule="exact"/>
              <w:jc w:val="center"/>
              <w:rPr>
                <w:rFonts w:hint="eastAsia" w:ascii="宋体" w:hAnsi="宋体" w:cs="宋体"/>
                <w:sz w:val="24"/>
                <w:highlight w:val="none"/>
                <w:lang w:val="en-US" w:eastAsia="zh-CN"/>
              </w:rPr>
            </w:pPr>
          </w:p>
        </w:tc>
        <w:tc>
          <w:tcPr>
            <w:tcW w:w="1717" w:type="dxa"/>
            <w:vAlign w:val="center"/>
          </w:tcPr>
          <w:p>
            <w:pPr>
              <w:spacing w:line="320" w:lineRule="exact"/>
              <w:jc w:val="cente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流量计</w:t>
            </w:r>
          </w:p>
        </w:tc>
        <w:tc>
          <w:tcPr>
            <w:tcW w:w="1550" w:type="dxa"/>
            <w:vAlign w:val="center"/>
          </w:tcPr>
          <w:p>
            <w:pPr>
              <w:spacing w:line="320" w:lineRule="exact"/>
              <w:jc w:val="center"/>
              <w:rPr>
                <w:rFonts w:hint="eastAsia" w:ascii="宋体" w:hAnsi="宋体" w:cs="宋体"/>
                <w:sz w:val="24"/>
                <w:highlight w:val="none"/>
                <w:lang w:eastAsia="zh-CN"/>
              </w:rPr>
            </w:pPr>
            <w:r>
              <w:rPr>
                <w:rFonts w:hint="eastAsia" w:ascii="宋体" w:hAnsi="宋体" w:cs="宋体"/>
                <w:sz w:val="24"/>
                <w:highlight w:val="none"/>
                <w:lang w:eastAsia="zh-CN"/>
              </w:rPr>
              <w:t>巴士槽流量计</w:t>
            </w:r>
          </w:p>
        </w:tc>
        <w:tc>
          <w:tcPr>
            <w:tcW w:w="1267" w:type="dxa"/>
            <w:vAlign w:val="top"/>
          </w:tcPr>
          <w:p>
            <w:pPr>
              <w:jc w:val="center"/>
              <w:rPr>
                <w:rFonts w:hint="eastAsia" w:ascii="宋体" w:hAnsi="宋体" w:eastAsia="宋体" w:cs="宋体"/>
                <w:sz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Merge w:val="continue"/>
            <w:vAlign w:val="center"/>
          </w:tcPr>
          <w:p>
            <w:pPr>
              <w:spacing w:line="320" w:lineRule="exact"/>
              <w:jc w:val="center"/>
              <w:rPr>
                <w:sz w:val="24"/>
              </w:rPr>
            </w:pPr>
          </w:p>
        </w:tc>
        <w:tc>
          <w:tcPr>
            <w:tcW w:w="1459"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BOD</w:t>
            </w:r>
            <w:r>
              <w:rPr>
                <w:rFonts w:hint="eastAsia" w:ascii="宋体" w:hAnsi="宋体" w:eastAsia="宋体" w:cs="宋体"/>
                <w:sz w:val="24"/>
                <w:highlight w:val="none"/>
                <w:vertAlign w:val="subscript"/>
              </w:rPr>
              <w:t>5</w:t>
            </w:r>
          </w:p>
        </w:tc>
        <w:tc>
          <w:tcPr>
            <w:tcW w:w="1698"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color w:val="000000"/>
                <w:kern w:val="0"/>
                <w:sz w:val="24"/>
                <w:highlight w:val="none"/>
              </w:rPr>
              <w:t>总出水口</w:t>
            </w:r>
          </w:p>
        </w:tc>
        <w:tc>
          <w:tcPr>
            <w:tcW w:w="1314"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color w:val="000000"/>
                <w:kern w:val="0"/>
                <w:sz w:val="24"/>
                <w:highlight w:val="none"/>
              </w:rPr>
              <w:t>1次/</w:t>
            </w:r>
            <w:r>
              <w:rPr>
                <w:rFonts w:hint="eastAsia" w:ascii="宋体" w:hAnsi="宋体" w:eastAsia="宋体" w:cs="宋体"/>
                <w:color w:val="000000"/>
                <w:kern w:val="0"/>
                <w:sz w:val="24"/>
                <w:highlight w:val="none"/>
                <w:lang w:eastAsia="zh-CN"/>
              </w:rPr>
              <w:t>月</w:t>
            </w:r>
          </w:p>
        </w:tc>
        <w:tc>
          <w:tcPr>
            <w:tcW w:w="2836"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10</w:t>
            </w:r>
          </w:p>
        </w:tc>
        <w:tc>
          <w:tcPr>
            <w:tcW w:w="1717" w:type="dxa"/>
            <w:vAlign w:val="center"/>
          </w:tcPr>
          <w:p>
            <w:pPr>
              <w:spacing w:line="38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稀释接种法</w:t>
            </w:r>
          </w:p>
        </w:tc>
        <w:tc>
          <w:tcPr>
            <w:tcW w:w="1550"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生化培养箱</w:t>
            </w:r>
          </w:p>
        </w:tc>
        <w:tc>
          <w:tcPr>
            <w:tcW w:w="1267" w:type="dxa"/>
            <w:vAlign w:val="top"/>
          </w:tcPr>
          <w:p>
            <w:pPr>
              <w:rPr>
                <w:rFonts w:hint="eastAsia" w:ascii="宋体" w:hAnsi="宋体" w:eastAsia="宋体" w:cs="宋体"/>
                <w:highlight w:val="none"/>
                <w:lang w:eastAsia="zh-CN"/>
              </w:rPr>
            </w:pPr>
            <w:r>
              <w:rPr>
                <w:rFonts w:hint="eastAsia" w:ascii="宋体" w:hAnsi="宋体" w:cs="宋体"/>
                <w:sz w:val="24"/>
                <w:highlight w:val="none"/>
                <w:lang w:eastAsia="zh-CN"/>
              </w:rPr>
              <w:t>手工检测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Merge w:val="continue"/>
            <w:vAlign w:val="center"/>
          </w:tcPr>
          <w:p>
            <w:pPr>
              <w:spacing w:line="320" w:lineRule="exact"/>
              <w:jc w:val="center"/>
              <w:rPr>
                <w:sz w:val="24"/>
              </w:rPr>
            </w:pPr>
          </w:p>
        </w:tc>
        <w:tc>
          <w:tcPr>
            <w:tcW w:w="1459"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TN</w:t>
            </w:r>
          </w:p>
        </w:tc>
        <w:tc>
          <w:tcPr>
            <w:tcW w:w="1698"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color w:val="000000"/>
                <w:kern w:val="0"/>
                <w:sz w:val="24"/>
                <w:highlight w:val="none"/>
              </w:rPr>
              <w:t>总出水口</w:t>
            </w:r>
          </w:p>
        </w:tc>
        <w:tc>
          <w:tcPr>
            <w:tcW w:w="1314" w:type="dxa"/>
            <w:vAlign w:val="center"/>
          </w:tcPr>
          <w:p>
            <w:pPr>
              <w:jc w:val="center"/>
              <w:rPr>
                <w:rFonts w:hint="eastAsia" w:ascii="宋体" w:hAnsi="宋体" w:eastAsia="宋体" w:cs="宋体"/>
                <w:highlight w:val="none"/>
                <w:lang w:eastAsia="zh-CN"/>
              </w:rPr>
            </w:pPr>
            <w:r>
              <w:rPr>
                <w:rFonts w:hint="eastAsia" w:ascii="宋体" w:hAnsi="宋体" w:cs="宋体"/>
                <w:color w:val="000000"/>
                <w:kern w:val="0"/>
                <w:sz w:val="24"/>
                <w:highlight w:val="none"/>
                <w:lang w:eastAsia="zh-CN"/>
              </w:rPr>
              <w:t>自动监测</w:t>
            </w:r>
          </w:p>
        </w:tc>
        <w:tc>
          <w:tcPr>
            <w:tcW w:w="2836" w:type="dxa"/>
            <w:vAlign w:val="center"/>
          </w:tcPr>
          <w:p>
            <w:pPr>
              <w:spacing w:line="320" w:lineRule="exact"/>
              <w:jc w:val="center"/>
              <w:rPr>
                <w:rFonts w:hint="eastAsia" w:ascii="宋体" w:hAnsi="宋体" w:eastAsia="宋体" w:cs="宋体"/>
                <w:sz w:val="24"/>
                <w:highlight w:val="none"/>
                <w:lang w:eastAsia="zh-CN"/>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15</w:t>
            </w:r>
          </w:p>
        </w:tc>
        <w:tc>
          <w:tcPr>
            <w:tcW w:w="1717" w:type="dxa"/>
            <w:vAlign w:val="center"/>
          </w:tcPr>
          <w:p>
            <w:pPr>
              <w:spacing w:line="380" w:lineRule="exact"/>
              <w:jc w:val="center"/>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快速消解分光光度法</w:t>
            </w:r>
            <w:r>
              <w:rPr>
                <w:rFonts w:hint="eastAsia" w:ascii="宋体" w:hAnsi="宋体" w:eastAsia="宋体" w:cs="宋体"/>
                <w:sz w:val="21"/>
                <w:szCs w:val="21"/>
                <w:highlight w:val="none"/>
                <w:lang w:eastAsia="zh-CN"/>
              </w:rPr>
              <w:t>）</w:t>
            </w:r>
          </w:p>
        </w:tc>
        <w:tc>
          <w:tcPr>
            <w:tcW w:w="1550" w:type="dxa"/>
            <w:vAlign w:val="center"/>
          </w:tcPr>
          <w:p>
            <w:pPr>
              <w:spacing w:line="320" w:lineRule="exact"/>
              <w:jc w:val="center"/>
              <w:rPr>
                <w:rFonts w:hint="eastAsia" w:ascii="宋体" w:hAnsi="宋体" w:eastAsia="宋体" w:cs="宋体"/>
                <w:sz w:val="24"/>
                <w:highlight w:val="none"/>
                <w:lang w:eastAsia="zh-CN"/>
              </w:rPr>
            </w:pPr>
            <w:r>
              <w:rPr>
                <w:rFonts w:hint="eastAsia" w:ascii="宋体" w:hAnsi="宋体" w:cs="宋体"/>
                <w:sz w:val="24"/>
                <w:highlight w:val="none"/>
                <w:lang w:eastAsia="zh-CN"/>
              </w:rPr>
              <w:t>总氮自动分析仪</w:t>
            </w:r>
          </w:p>
        </w:tc>
        <w:tc>
          <w:tcPr>
            <w:tcW w:w="1267" w:type="dxa"/>
            <w:vAlign w:val="top"/>
          </w:tcPr>
          <w:p>
            <w:pPr>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TP</w:t>
            </w:r>
          </w:p>
        </w:tc>
        <w:tc>
          <w:tcPr>
            <w:tcW w:w="1698"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color w:val="000000"/>
                <w:kern w:val="0"/>
                <w:sz w:val="24"/>
                <w:highlight w:val="none"/>
              </w:rPr>
              <w:t>总出水口</w:t>
            </w:r>
          </w:p>
        </w:tc>
        <w:tc>
          <w:tcPr>
            <w:tcW w:w="1314" w:type="dxa"/>
            <w:vAlign w:val="center"/>
          </w:tcPr>
          <w:p>
            <w:pPr>
              <w:jc w:val="center"/>
              <w:rPr>
                <w:rFonts w:hint="eastAsia" w:ascii="宋体" w:hAnsi="宋体" w:eastAsia="宋体" w:cs="宋体"/>
                <w:highlight w:val="none"/>
              </w:rPr>
            </w:pPr>
            <w:r>
              <w:rPr>
                <w:rFonts w:hint="eastAsia" w:ascii="宋体" w:hAnsi="宋体" w:cs="宋体"/>
                <w:color w:val="000000"/>
                <w:kern w:val="0"/>
                <w:sz w:val="24"/>
                <w:highlight w:val="none"/>
                <w:lang w:eastAsia="zh-CN"/>
              </w:rPr>
              <w:t>自动监测</w:t>
            </w:r>
          </w:p>
        </w:tc>
        <w:tc>
          <w:tcPr>
            <w:tcW w:w="2836"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18"/>
                <w:szCs w:val="18"/>
                <w:highlight w:val="none"/>
                <w:lang w:eastAsia="zh-CN"/>
              </w:rPr>
              <w:t>《济南市人民政府办公厅关于济南市小清河流域执行水污染物区域排放限值的通知》（济政办字【2017】30 号）</w:t>
            </w:r>
          </w:p>
        </w:tc>
        <w:tc>
          <w:tcPr>
            <w:tcW w:w="1092" w:type="dxa"/>
            <w:vAlign w:val="center"/>
          </w:tcPr>
          <w:p>
            <w:pPr>
              <w:spacing w:line="320" w:lineRule="exact"/>
              <w:jc w:val="center"/>
              <w:rPr>
                <w:rFonts w:hint="eastAsia" w:ascii="宋体" w:hAnsi="宋体" w:eastAsia="宋体" w:cs="宋体"/>
                <w:sz w:val="24"/>
                <w:highlight w:val="none"/>
                <w:lang w:val="en-US" w:eastAsia="zh-CN"/>
              </w:rPr>
            </w:pPr>
            <w:r>
              <w:rPr>
                <w:rFonts w:hint="eastAsia" w:ascii="宋体" w:hAnsi="宋体" w:eastAsia="宋体" w:cs="宋体"/>
                <w:sz w:val="24"/>
                <w:highlight w:val="none"/>
              </w:rPr>
              <w:t>0.</w:t>
            </w:r>
            <w:r>
              <w:rPr>
                <w:rFonts w:hint="eastAsia" w:ascii="宋体" w:hAnsi="宋体" w:cs="宋体"/>
                <w:sz w:val="24"/>
                <w:highlight w:val="none"/>
                <w:lang w:val="en-US" w:eastAsia="zh-CN"/>
              </w:rPr>
              <w:t>4</w:t>
            </w:r>
          </w:p>
        </w:tc>
        <w:tc>
          <w:tcPr>
            <w:tcW w:w="1717" w:type="dxa"/>
            <w:vAlign w:val="center"/>
          </w:tcPr>
          <w:p>
            <w:pPr>
              <w:spacing w:line="320" w:lineRule="exact"/>
              <w:jc w:val="center"/>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快速消解分光光度法</w:t>
            </w:r>
          </w:p>
        </w:tc>
        <w:tc>
          <w:tcPr>
            <w:tcW w:w="1550" w:type="dxa"/>
            <w:vAlign w:val="center"/>
          </w:tcPr>
          <w:p>
            <w:pPr>
              <w:spacing w:line="320" w:lineRule="exact"/>
              <w:jc w:val="center"/>
              <w:rPr>
                <w:rFonts w:hint="eastAsia" w:ascii="宋体" w:hAnsi="宋体" w:eastAsia="宋体" w:cs="宋体"/>
                <w:sz w:val="24"/>
                <w:highlight w:val="none"/>
              </w:rPr>
            </w:pPr>
            <w:r>
              <w:rPr>
                <w:rFonts w:hint="eastAsia" w:ascii="宋体" w:hAnsi="宋体" w:cs="宋体"/>
                <w:sz w:val="24"/>
                <w:highlight w:val="none"/>
                <w:lang w:eastAsia="zh-CN"/>
              </w:rPr>
              <w:t>总磷自动分析仪</w:t>
            </w:r>
          </w:p>
        </w:tc>
        <w:tc>
          <w:tcPr>
            <w:tcW w:w="1267" w:type="dxa"/>
            <w:vAlign w:val="top"/>
          </w:tcPr>
          <w:p>
            <w:pPr>
              <w:rPr>
                <w:rFonts w:hint="eastAsia" w:ascii="宋体" w:hAnsi="宋体" w:eastAsia="宋体" w:cs="宋体"/>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SS</w:t>
            </w:r>
          </w:p>
        </w:tc>
        <w:tc>
          <w:tcPr>
            <w:tcW w:w="1698"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color w:val="000000"/>
                <w:kern w:val="0"/>
                <w:sz w:val="24"/>
                <w:highlight w:val="none"/>
              </w:rPr>
              <w:t>总出水口</w:t>
            </w:r>
          </w:p>
        </w:tc>
        <w:tc>
          <w:tcPr>
            <w:tcW w:w="1314" w:type="dxa"/>
            <w:vAlign w:val="center"/>
          </w:tcPr>
          <w:p>
            <w:pPr>
              <w:jc w:val="center"/>
              <w:rPr>
                <w:rFonts w:hint="eastAsia" w:ascii="宋体" w:hAnsi="宋体" w:eastAsia="宋体" w:cs="宋体"/>
                <w:highlight w:val="none"/>
              </w:rPr>
            </w:pPr>
            <w:r>
              <w:rPr>
                <w:rFonts w:hint="eastAsia" w:ascii="宋体" w:hAnsi="宋体" w:eastAsia="宋体" w:cs="宋体"/>
                <w:color w:val="000000"/>
                <w:kern w:val="0"/>
                <w:sz w:val="24"/>
                <w:highlight w:val="none"/>
              </w:rPr>
              <w:t>1次/</w:t>
            </w:r>
            <w:r>
              <w:rPr>
                <w:rFonts w:hint="eastAsia" w:ascii="宋体" w:hAnsi="宋体" w:eastAsia="宋体" w:cs="宋体"/>
                <w:color w:val="000000"/>
                <w:kern w:val="0"/>
                <w:sz w:val="24"/>
                <w:highlight w:val="none"/>
                <w:lang w:eastAsia="zh-CN"/>
              </w:rPr>
              <w:t>月</w:t>
            </w:r>
          </w:p>
        </w:tc>
        <w:tc>
          <w:tcPr>
            <w:tcW w:w="2836"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10</w:t>
            </w:r>
          </w:p>
        </w:tc>
        <w:tc>
          <w:tcPr>
            <w:tcW w:w="1717" w:type="dxa"/>
            <w:vAlign w:val="center"/>
          </w:tcPr>
          <w:p>
            <w:pPr>
              <w:spacing w:line="32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重量法</w:t>
            </w:r>
          </w:p>
        </w:tc>
        <w:tc>
          <w:tcPr>
            <w:tcW w:w="1550"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分析天平</w:t>
            </w:r>
          </w:p>
        </w:tc>
        <w:tc>
          <w:tcPr>
            <w:tcW w:w="1267" w:type="dxa"/>
            <w:vAlign w:val="top"/>
          </w:tcPr>
          <w:p>
            <w:pPr>
              <w:rPr>
                <w:rFonts w:hint="eastAsia" w:ascii="宋体" w:hAnsi="宋体" w:eastAsia="宋体" w:cs="宋体"/>
                <w:highlight w:val="none"/>
                <w:lang w:eastAsia="zh-CN"/>
              </w:rPr>
            </w:pPr>
            <w:r>
              <w:rPr>
                <w:rFonts w:hint="eastAsia" w:ascii="宋体" w:hAnsi="宋体" w:cs="宋体"/>
                <w:sz w:val="24"/>
                <w:highlight w:val="none"/>
                <w:lang w:eastAsia="zh-CN"/>
              </w:rPr>
              <w:t>手工检测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PH</w:t>
            </w:r>
          </w:p>
        </w:tc>
        <w:tc>
          <w:tcPr>
            <w:tcW w:w="1698"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总出水口</w:t>
            </w:r>
          </w:p>
        </w:tc>
        <w:tc>
          <w:tcPr>
            <w:tcW w:w="1314" w:type="dxa"/>
            <w:vAlign w:val="center"/>
          </w:tcPr>
          <w:p>
            <w:pPr>
              <w:jc w:val="center"/>
              <w:rPr>
                <w:rFonts w:hint="eastAsia" w:ascii="宋体" w:hAnsi="宋体" w:eastAsia="宋体" w:cs="宋体"/>
                <w:highlight w:val="none"/>
                <w:lang w:eastAsia="zh-CN"/>
              </w:rPr>
            </w:pPr>
            <w:r>
              <w:rPr>
                <w:rFonts w:hint="eastAsia" w:ascii="宋体" w:hAnsi="宋体" w:cs="宋体"/>
                <w:color w:val="000000"/>
                <w:kern w:val="0"/>
                <w:sz w:val="24"/>
                <w:highlight w:val="none"/>
                <w:lang w:eastAsia="zh-CN"/>
              </w:rPr>
              <w:t>自动监测</w:t>
            </w:r>
          </w:p>
        </w:tc>
        <w:tc>
          <w:tcPr>
            <w:tcW w:w="2836" w:type="dxa"/>
            <w:vAlign w:val="center"/>
          </w:tcPr>
          <w:p>
            <w:pPr>
              <w:spacing w:line="320" w:lineRule="exact"/>
              <w:jc w:val="center"/>
              <w:rPr>
                <w:rFonts w:hint="eastAsia" w:ascii="宋体" w:hAnsi="宋体" w:eastAsia="宋体" w:cs="宋体"/>
                <w:sz w:val="24"/>
                <w:highlight w:val="none"/>
                <w:lang w:eastAsia="zh-CN"/>
              </w:rPr>
            </w:pPr>
            <w:r>
              <w:rPr>
                <w:rFonts w:hint="eastAsia" w:ascii="宋体" w:hAnsi="宋体" w:cs="宋体"/>
                <w:bCs/>
                <w:sz w:val="18"/>
                <w:szCs w:val="18"/>
                <w:highlight w:val="none"/>
                <w:lang w:eastAsia="zh-CN"/>
              </w:rPr>
              <w:t>排污许可证</w:t>
            </w:r>
          </w:p>
        </w:tc>
        <w:tc>
          <w:tcPr>
            <w:tcW w:w="1092"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6-9</w:t>
            </w:r>
          </w:p>
        </w:tc>
        <w:tc>
          <w:tcPr>
            <w:tcW w:w="1717" w:type="dxa"/>
            <w:vAlign w:val="center"/>
          </w:tcPr>
          <w:p>
            <w:pPr>
              <w:spacing w:line="32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玻璃电极法</w:t>
            </w:r>
          </w:p>
        </w:tc>
        <w:tc>
          <w:tcPr>
            <w:tcW w:w="1550" w:type="dxa"/>
            <w:vAlign w:val="center"/>
          </w:tcPr>
          <w:p>
            <w:pPr>
              <w:spacing w:line="320" w:lineRule="exact"/>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PH计</w:t>
            </w:r>
          </w:p>
        </w:tc>
        <w:tc>
          <w:tcPr>
            <w:tcW w:w="1267" w:type="dxa"/>
            <w:vAlign w:val="top"/>
          </w:tcPr>
          <w:p>
            <w:pPr>
              <w:rPr>
                <w:rFonts w:hint="eastAsia" w:ascii="宋体" w:hAnsi="宋体" w:eastAsia="宋体" w:cs="宋体"/>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色度</w:t>
            </w:r>
          </w:p>
        </w:tc>
        <w:tc>
          <w:tcPr>
            <w:tcW w:w="1698"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总出水口</w:t>
            </w:r>
          </w:p>
        </w:tc>
        <w:tc>
          <w:tcPr>
            <w:tcW w:w="1314" w:type="dxa"/>
            <w:vAlign w:val="center"/>
          </w:tcPr>
          <w:p>
            <w:pPr>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1次/</w:t>
            </w:r>
            <w:r>
              <w:rPr>
                <w:rFonts w:hint="eastAsia" w:ascii="宋体" w:hAnsi="宋体" w:eastAsia="宋体" w:cs="宋体"/>
                <w:color w:val="000000"/>
                <w:kern w:val="0"/>
                <w:sz w:val="24"/>
                <w:highlight w:val="none"/>
                <w:lang w:eastAsia="zh-CN"/>
              </w:rPr>
              <w:t>月</w:t>
            </w:r>
          </w:p>
        </w:tc>
        <w:tc>
          <w:tcPr>
            <w:tcW w:w="2836"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30</w:t>
            </w:r>
          </w:p>
        </w:tc>
        <w:tc>
          <w:tcPr>
            <w:tcW w:w="1717" w:type="dxa"/>
            <w:vAlign w:val="center"/>
          </w:tcPr>
          <w:p>
            <w:pPr>
              <w:spacing w:line="32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 xml:space="preserve"> 铂钴标准比色法</w:t>
            </w:r>
          </w:p>
        </w:tc>
        <w:tc>
          <w:tcPr>
            <w:tcW w:w="1550"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比色管</w:t>
            </w:r>
          </w:p>
        </w:tc>
        <w:tc>
          <w:tcPr>
            <w:tcW w:w="1267" w:type="dxa"/>
            <w:vAlign w:val="top"/>
          </w:tcPr>
          <w:p>
            <w:pPr>
              <w:rPr>
                <w:rFonts w:hint="eastAsia" w:ascii="宋体" w:hAnsi="宋体" w:eastAsia="宋体" w:cs="宋体"/>
                <w:sz w:val="24"/>
                <w:highlight w:val="none"/>
                <w:lang w:eastAsia="zh-CN"/>
              </w:rPr>
            </w:pPr>
            <w:r>
              <w:rPr>
                <w:rFonts w:hint="eastAsia" w:ascii="宋体" w:hAnsi="宋体" w:cs="宋体"/>
                <w:sz w:val="24"/>
                <w:highlight w:val="none"/>
                <w:lang w:eastAsia="zh-CN"/>
              </w:rPr>
              <w:t>手工检测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lang w:eastAsia="zh-CN"/>
              </w:rPr>
              <w:t>粪</w:t>
            </w:r>
            <w:r>
              <w:rPr>
                <w:rFonts w:hint="eastAsia" w:ascii="宋体" w:hAnsi="宋体" w:eastAsia="宋体" w:cs="宋体"/>
                <w:sz w:val="24"/>
                <w:highlight w:val="none"/>
              </w:rPr>
              <w:t>大肠菌群</w:t>
            </w:r>
          </w:p>
        </w:tc>
        <w:tc>
          <w:tcPr>
            <w:tcW w:w="1698" w:type="dxa"/>
            <w:vAlign w:val="center"/>
          </w:tcPr>
          <w:p>
            <w:pPr>
              <w:jc w:val="center"/>
              <w:rPr>
                <w:rFonts w:hint="eastAsia" w:ascii="宋体" w:hAnsi="宋体" w:eastAsia="宋体" w:cs="宋体"/>
                <w:highlight w:val="none"/>
              </w:rPr>
            </w:pPr>
            <w:r>
              <w:rPr>
                <w:rFonts w:hint="eastAsia" w:ascii="宋体" w:hAnsi="宋体" w:eastAsia="宋体" w:cs="宋体"/>
                <w:sz w:val="24"/>
                <w:highlight w:val="none"/>
              </w:rPr>
              <w:t>总出水口</w:t>
            </w:r>
          </w:p>
        </w:tc>
        <w:tc>
          <w:tcPr>
            <w:tcW w:w="1314" w:type="dxa"/>
            <w:vAlign w:val="center"/>
          </w:tcPr>
          <w:p>
            <w:pPr>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1次/</w:t>
            </w:r>
            <w:r>
              <w:rPr>
                <w:rFonts w:hint="eastAsia" w:ascii="宋体" w:hAnsi="宋体" w:eastAsia="宋体" w:cs="宋体"/>
                <w:color w:val="000000"/>
                <w:kern w:val="0"/>
                <w:sz w:val="24"/>
                <w:highlight w:val="none"/>
                <w:lang w:eastAsia="zh-CN"/>
              </w:rPr>
              <w:t>月</w:t>
            </w:r>
          </w:p>
        </w:tc>
        <w:tc>
          <w:tcPr>
            <w:tcW w:w="2836"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1000</w:t>
            </w:r>
          </w:p>
        </w:tc>
        <w:tc>
          <w:tcPr>
            <w:tcW w:w="1717" w:type="dxa"/>
            <w:vAlign w:val="center"/>
          </w:tcPr>
          <w:p>
            <w:pPr>
              <w:spacing w:line="32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多管发酵法</w:t>
            </w:r>
          </w:p>
        </w:tc>
        <w:tc>
          <w:tcPr>
            <w:tcW w:w="1550"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压力灭菌器、恒温培养箱</w:t>
            </w:r>
          </w:p>
        </w:tc>
        <w:tc>
          <w:tcPr>
            <w:tcW w:w="1267" w:type="dxa"/>
            <w:vMerge w:val="restart"/>
            <w:vAlign w:val="center"/>
          </w:tcPr>
          <w:p>
            <w:pPr>
              <w:jc w:val="center"/>
              <w:rPr>
                <w:rFonts w:hint="eastAsia" w:ascii="宋体" w:hAnsi="宋体" w:eastAsia="宋体" w:cs="宋体"/>
                <w:sz w:val="24"/>
                <w:highlight w:val="none"/>
              </w:rPr>
            </w:pPr>
            <w:r>
              <w:rPr>
                <w:rFonts w:hint="eastAsia" w:ascii="宋体" w:hAnsi="宋体" w:eastAsia="宋体" w:cs="宋体"/>
                <w:sz w:val="24"/>
              </w:rPr>
              <w:t>委托</w:t>
            </w:r>
            <w:r>
              <w:rPr>
                <w:rFonts w:hint="eastAsia" w:ascii="宋体" w:hAnsi="宋体" w:eastAsia="宋体" w:cs="宋体"/>
                <w:sz w:val="24"/>
                <w:lang w:eastAsia="zh-CN"/>
              </w:rPr>
              <w:t>青岛维勘质量检测有限公司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石油类（石油醚萃取）</w:t>
            </w:r>
          </w:p>
        </w:tc>
        <w:tc>
          <w:tcPr>
            <w:tcW w:w="1698" w:type="dxa"/>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总出水口</w:t>
            </w:r>
          </w:p>
        </w:tc>
        <w:tc>
          <w:tcPr>
            <w:tcW w:w="1314" w:type="dxa"/>
            <w:vAlign w:val="center"/>
          </w:tcPr>
          <w:p>
            <w:pPr>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1次/</w:t>
            </w:r>
            <w:r>
              <w:rPr>
                <w:rFonts w:hint="eastAsia" w:ascii="宋体" w:hAnsi="宋体" w:eastAsia="宋体" w:cs="宋体"/>
                <w:color w:val="000000"/>
                <w:kern w:val="0"/>
                <w:sz w:val="24"/>
                <w:highlight w:val="none"/>
                <w:lang w:eastAsia="zh-CN"/>
              </w:rPr>
              <w:t>月</w:t>
            </w:r>
          </w:p>
        </w:tc>
        <w:tc>
          <w:tcPr>
            <w:tcW w:w="2836" w:type="dxa"/>
            <w:vAlign w:val="center"/>
          </w:tcPr>
          <w:p>
            <w:pPr>
              <w:spacing w:line="320" w:lineRule="exact"/>
              <w:jc w:val="center"/>
              <w:rPr>
                <w:rFonts w:hint="eastAsia" w:ascii="宋体" w:hAnsi="宋体" w:eastAsia="宋体" w:cs="宋体"/>
                <w:bCs/>
                <w:sz w:val="18"/>
                <w:szCs w:val="18"/>
                <w:highlight w:val="none"/>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1</w:t>
            </w:r>
          </w:p>
        </w:tc>
        <w:tc>
          <w:tcPr>
            <w:tcW w:w="1717" w:type="dxa"/>
            <w:vAlign w:val="center"/>
          </w:tcPr>
          <w:p>
            <w:pPr>
              <w:spacing w:line="32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红外分光光度法</w:t>
            </w:r>
          </w:p>
        </w:tc>
        <w:tc>
          <w:tcPr>
            <w:tcW w:w="1550"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红外分光光度计</w:t>
            </w:r>
          </w:p>
        </w:tc>
        <w:tc>
          <w:tcPr>
            <w:tcW w:w="1267" w:type="dxa"/>
            <w:vMerge w:val="continue"/>
            <w:vAlign w:val="top"/>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阴离子表面活性剂</w:t>
            </w:r>
          </w:p>
        </w:tc>
        <w:tc>
          <w:tcPr>
            <w:tcW w:w="1698" w:type="dxa"/>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总出水口</w:t>
            </w:r>
          </w:p>
        </w:tc>
        <w:tc>
          <w:tcPr>
            <w:tcW w:w="1314" w:type="dxa"/>
            <w:vAlign w:val="center"/>
          </w:tcPr>
          <w:p>
            <w:pPr>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1次/</w:t>
            </w:r>
            <w:r>
              <w:rPr>
                <w:rFonts w:hint="eastAsia" w:ascii="宋体" w:hAnsi="宋体" w:eastAsia="宋体" w:cs="宋体"/>
                <w:color w:val="000000"/>
                <w:kern w:val="0"/>
                <w:sz w:val="24"/>
                <w:highlight w:val="none"/>
                <w:lang w:eastAsia="zh-CN"/>
              </w:rPr>
              <w:t>月</w:t>
            </w:r>
          </w:p>
        </w:tc>
        <w:tc>
          <w:tcPr>
            <w:tcW w:w="2836" w:type="dxa"/>
            <w:vAlign w:val="center"/>
          </w:tcPr>
          <w:p>
            <w:pPr>
              <w:spacing w:line="320" w:lineRule="exact"/>
              <w:jc w:val="center"/>
              <w:rPr>
                <w:rFonts w:hint="eastAsia" w:ascii="宋体" w:hAnsi="宋体" w:eastAsia="宋体" w:cs="宋体"/>
                <w:bCs/>
                <w:sz w:val="18"/>
                <w:szCs w:val="18"/>
                <w:highlight w:val="none"/>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0.5</w:t>
            </w:r>
          </w:p>
        </w:tc>
        <w:tc>
          <w:tcPr>
            <w:tcW w:w="1717" w:type="dxa"/>
            <w:vAlign w:val="center"/>
          </w:tcPr>
          <w:p>
            <w:pPr>
              <w:spacing w:line="32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亚甲蓝分光光度法（</w:t>
            </w:r>
            <w:r>
              <w:rPr>
                <w:rFonts w:hint="eastAsia" w:ascii="宋体" w:hAnsi="宋体" w:eastAsia="宋体" w:cs="宋体"/>
                <w:sz w:val="21"/>
                <w:szCs w:val="21"/>
                <w:highlight w:val="none"/>
                <w:lang w:val="en-US" w:eastAsia="zh-CN"/>
              </w:rPr>
              <w:t>GB7494-1987</w:t>
            </w:r>
            <w:r>
              <w:rPr>
                <w:rFonts w:hint="eastAsia" w:ascii="宋体" w:hAnsi="宋体" w:eastAsia="宋体" w:cs="宋体"/>
                <w:sz w:val="21"/>
                <w:szCs w:val="21"/>
                <w:highlight w:val="none"/>
                <w:lang w:eastAsia="zh-CN"/>
              </w:rPr>
              <w:t>）</w:t>
            </w:r>
          </w:p>
        </w:tc>
        <w:tc>
          <w:tcPr>
            <w:tcW w:w="1550"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分光光度计</w:t>
            </w:r>
          </w:p>
        </w:tc>
        <w:tc>
          <w:tcPr>
            <w:tcW w:w="1267" w:type="dxa"/>
            <w:vMerge w:val="continue"/>
            <w:vAlign w:val="top"/>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动植物油</w:t>
            </w:r>
          </w:p>
        </w:tc>
        <w:tc>
          <w:tcPr>
            <w:tcW w:w="1698" w:type="dxa"/>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总出水口</w:t>
            </w:r>
          </w:p>
        </w:tc>
        <w:tc>
          <w:tcPr>
            <w:tcW w:w="1314" w:type="dxa"/>
            <w:vAlign w:val="center"/>
          </w:tcPr>
          <w:p>
            <w:pPr>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1次/</w:t>
            </w:r>
            <w:r>
              <w:rPr>
                <w:rFonts w:hint="eastAsia" w:ascii="宋体" w:hAnsi="宋体" w:eastAsia="宋体" w:cs="宋体"/>
                <w:color w:val="000000"/>
                <w:kern w:val="0"/>
                <w:sz w:val="24"/>
                <w:highlight w:val="none"/>
                <w:lang w:eastAsia="zh-CN"/>
              </w:rPr>
              <w:t>月</w:t>
            </w:r>
          </w:p>
        </w:tc>
        <w:tc>
          <w:tcPr>
            <w:tcW w:w="2836" w:type="dxa"/>
            <w:vAlign w:val="center"/>
          </w:tcPr>
          <w:p>
            <w:pPr>
              <w:spacing w:line="320" w:lineRule="exact"/>
              <w:jc w:val="center"/>
              <w:rPr>
                <w:rFonts w:hint="eastAsia" w:ascii="宋体" w:hAnsi="宋体" w:eastAsia="宋体" w:cs="宋体"/>
                <w:bCs/>
                <w:sz w:val="18"/>
                <w:szCs w:val="18"/>
                <w:highlight w:val="none"/>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1</w:t>
            </w:r>
          </w:p>
        </w:tc>
        <w:tc>
          <w:tcPr>
            <w:tcW w:w="1717" w:type="dxa"/>
            <w:vAlign w:val="center"/>
          </w:tcPr>
          <w:p>
            <w:pPr>
              <w:spacing w:line="32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红外分光光度法</w:t>
            </w:r>
          </w:p>
        </w:tc>
        <w:tc>
          <w:tcPr>
            <w:tcW w:w="1550" w:type="dxa"/>
            <w:vAlign w:val="center"/>
          </w:tcPr>
          <w:p>
            <w:pPr>
              <w:spacing w:line="320" w:lineRule="exact"/>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红外分光测油仪</w:t>
            </w:r>
          </w:p>
        </w:tc>
        <w:tc>
          <w:tcPr>
            <w:tcW w:w="1267" w:type="dxa"/>
            <w:vMerge w:val="continue"/>
            <w:vAlign w:val="top"/>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铬（六价）</w:t>
            </w:r>
          </w:p>
        </w:tc>
        <w:tc>
          <w:tcPr>
            <w:tcW w:w="1698" w:type="dxa"/>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总出水口</w:t>
            </w:r>
          </w:p>
        </w:tc>
        <w:tc>
          <w:tcPr>
            <w:tcW w:w="1314" w:type="dxa"/>
            <w:vAlign w:val="center"/>
          </w:tcPr>
          <w:p>
            <w:pPr>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1次/</w:t>
            </w:r>
            <w:r>
              <w:rPr>
                <w:rFonts w:hint="eastAsia" w:ascii="宋体" w:hAnsi="宋体" w:cs="宋体"/>
                <w:color w:val="000000"/>
                <w:kern w:val="0"/>
                <w:sz w:val="24"/>
                <w:highlight w:val="none"/>
                <w:lang w:eastAsia="zh-CN"/>
              </w:rPr>
              <w:t>季度</w:t>
            </w:r>
          </w:p>
        </w:tc>
        <w:tc>
          <w:tcPr>
            <w:tcW w:w="2836" w:type="dxa"/>
            <w:vAlign w:val="center"/>
          </w:tcPr>
          <w:p>
            <w:pPr>
              <w:spacing w:line="320" w:lineRule="exact"/>
              <w:jc w:val="center"/>
              <w:rPr>
                <w:rFonts w:hint="eastAsia" w:ascii="宋体" w:hAnsi="宋体" w:eastAsia="宋体" w:cs="宋体"/>
                <w:bCs/>
                <w:sz w:val="18"/>
                <w:szCs w:val="18"/>
                <w:highlight w:val="none"/>
                <w:lang w:eastAsia="zh-CN"/>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0.05</w:t>
            </w:r>
          </w:p>
        </w:tc>
        <w:tc>
          <w:tcPr>
            <w:tcW w:w="1717" w:type="dxa"/>
            <w:vAlign w:val="center"/>
          </w:tcPr>
          <w:p>
            <w:pPr>
              <w:spacing w:line="32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二苯碳酰二肼分光光度法</w:t>
            </w:r>
          </w:p>
        </w:tc>
        <w:tc>
          <w:tcPr>
            <w:tcW w:w="1550"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分光光度计</w:t>
            </w:r>
          </w:p>
        </w:tc>
        <w:tc>
          <w:tcPr>
            <w:tcW w:w="1267" w:type="dxa"/>
            <w:vMerge w:val="continue"/>
            <w:vAlign w:val="top"/>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lang w:eastAsia="zh-CN"/>
              </w:rPr>
              <w:t>总</w:t>
            </w:r>
            <w:r>
              <w:rPr>
                <w:rFonts w:hint="eastAsia" w:ascii="宋体" w:hAnsi="宋体" w:eastAsia="宋体" w:cs="宋体"/>
                <w:sz w:val="24"/>
                <w:highlight w:val="none"/>
              </w:rPr>
              <w:t>镍</w:t>
            </w:r>
          </w:p>
        </w:tc>
        <w:tc>
          <w:tcPr>
            <w:tcW w:w="1698" w:type="dxa"/>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总出水口</w:t>
            </w:r>
          </w:p>
        </w:tc>
        <w:tc>
          <w:tcPr>
            <w:tcW w:w="1314" w:type="dxa"/>
            <w:vAlign w:val="center"/>
          </w:tcPr>
          <w:p>
            <w:pPr>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1次/</w:t>
            </w:r>
            <w:r>
              <w:rPr>
                <w:rFonts w:hint="eastAsia" w:ascii="宋体" w:hAnsi="宋体" w:cs="宋体"/>
                <w:color w:val="000000"/>
                <w:kern w:val="0"/>
                <w:sz w:val="24"/>
                <w:highlight w:val="none"/>
                <w:lang w:eastAsia="zh-CN"/>
              </w:rPr>
              <w:t>季度</w:t>
            </w:r>
          </w:p>
        </w:tc>
        <w:tc>
          <w:tcPr>
            <w:tcW w:w="2836" w:type="dxa"/>
            <w:vAlign w:val="center"/>
          </w:tcPr>
          <w:p>
            <w:pPr>
              <w:spacing w:line="320" w:lineRule="exact"/>
              <w:jc w:val="center"/>
              <w:rPr>
                <w:rFonts w:hint="eastAsia" w:ascii="宋体" w:hAnsi="宋体" w:eastAsia="宋体" w:cs="宋体"/>
                <w:bCs/>
                <w:sz w:val="18"/>
                <w:szCs w:val="18"/>
                <w:highlight w:val="none"/>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0.05</w:t>
            </w:r>
          </w:p>
        </w:tc>
        <w:tc>
          <w:tcPr>
            <w:tcW w:w="1717" w:type="dxa"/>
            <w:vAlign w:val="center"/>
          </w:tcPr>
          <w:p>
            <w:pPr>
              <w:spacing w:line="32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火焰原子吸收分光光度法</w:t>
            </w:r>
          </w:p>
        </w:tc>
        <w:tc>
          <w:tcPr>
            <w:tcW w:w="1550"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原子吸收分光光度计</w:t>
            </w:r>
          </w:p>
        </w:tc>
        <w:tc>
          <w:tcPr>
            <w:tcW w:w="1267" w:type="dxa"/>
            <w:vMerge w:val="continue"/>
            <w:vAlign w:val="top"/>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ascii="宋体" w:hAnsi="宋体" w:eastAsia="宋体" w:cs="宋体"/>
                <w:sz w:val="24"/>
                <w:highlight w:val="none"/>
                <w:lang w:eastAsia="zh-CN"/>
              </w:rPr>
            </w:pPr>
            <w:r>
              <w:rPr>
                <w:rFonts w:hint="eastAsia" w:ascii="宋体" w:hAnsi="宋体" w:cs="宋体"/>
                <w:sz w:val="24"/>
                <w:highlight w:val="none"/>
                <w:lang w:eastAsia="zh-CN"/>
              </w:rPr>
              <w:t>溶解性总固体</w:t>
            </w:r>
          </w:p>
        </w:tc>
        <w:tc>
          <w:tcPr>
            <w:tcW w:w="1698" w:type="dxa"/>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总出水口</w:t>
            </w:r>
          </w:p>
        </w:tc>
        <w:tc>
          <w:tcPr>
            <w:tcW w:w="1314" w:type="dxa"/>
            <w:vAlign w:val="center"/>
          </w:tcPr>
          <w:p>
            <w:pPr>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1次/</w:t>
            </w:r>
            <w:r>
              <w:rPr>
                <w:rFonts w:hint="eastAsia" w:ascii="宋体" w:hAnsi="宋体" w:cs="宋体"/>
                <w:color w:val="000000"/>
                <w:kern w:val="0"/>
                <w:sz w:val="24"/>
                <w:highlight w:val="none"/>
                <w:lang w:eastAsia="zh-CN"/>
              </w:rPr>
              <w:t>半年</w:t>
            </w:r>
          </w:p>
        </w:tc>
        <w:tc>
          <w:tcPr>
            <w:tcW w:w="2836" w:type="dxa"/>
            <w:vAlign w:val="center"/>
          </w:tcPr>
          <w:p>
            <w:pPr>
              <w:spacing w:line="320" w:lineRule="exact"/>
              <w:jc w:val="center"/>
              <w:rPr>
                <w:rFonts w:hint="eastAsia" w:ascii="宋体" w:hAnsi="宋体" w:eastAsia="宋体" w:cs="宋体"/>
                <w:bCs/>
                <w:sz w:val="18"/>
                <w:szCs w:val="18"/>
                <w:highlight w:val="none"/>
                <w:lang w:eastAsia="zh-CN"/>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1600</w:t>
            </w:r>
          </w:p>
        </w:tc>
        <w:tc>
          <w:tcPr>
            <w:tcW w:w="1717" w:type="dxa"/>
            <w:vAlign w:val="center"/>
          </w:tcPr>
          <w:p>
            <w:pPr>
              <w:spacing w:line="320" w:lineRule="exact"/>
              <w:jc w:val="center"/>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重量法</w:t>
            </w:r>
          </w:p>
        </w:tc>
        <w:tc>
          <w:tcPr>
            <w:tcW w:w="1550" w:type="dxa"/>
            <w:vAlign w:val="center"/>
          </w:tcPr>
          <w:p>
            <w:pPr>
              <w:spacing w:line="320" w:lineRule="exact"/>
              <w:jc w:val="center"/>
              <w:rPr>
                <w:rFonts w:hint="eastAsia" w:ascii="宋体" w:hAnsi="宋体" w:eastAsia="宋体" w:cs="宋体"/>
                <w:sz w:val="24"/>
                <w:highlight w:val="none"/>
                <w:lang w:eastAsia="zh-CN"/>
              </w:rPr>
            </w:pPr>
            <w:r>
              <w:rPr>
                <w:rFonts w:hint="eastAsia" w:ascii="宋体" w:hAnsi="宋体" w:cs="宋体"/>
                <w:sz w:val="24"/>
                <w:highlight w:val="none"/>
                <w:lang w:eastAsia="zh-CN"/>
              </w:rPr>
              <w:t>分析天平</w:t>
            </w:r>
          </w:p>
        </w:tc>
        <w:tc>
          <w:tcPr>
            <w:tcW w:w="1267" w:type="dxa"/>
            <w:vMerge w:val="continue"/>
            <w:vAlign w:val="top"/>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782" w:type="dxa"/>
            <w:vMerge w:val="continue"/>
            <w:tcBorders>
              <w:right w:val="single" w:color="auto" w:sz="4" w:space="0"/>
            </w:tcBorders>
            <w:vAlign w:val="center"/>
          </w:tcPr>
          <w:p>
            <w:pPr>
              <w:spacing w:line="320" w:lineRule="exact"/>
              <w:jc w:val="center"/>
              <w:rPr>
                <w:sz w:val="24"/>
              </w:rPr>
            </w:pPr>
          </w:p>
        </w:tc>
        <w:tc>
          <w:tcPr>
            <w:tcW w:w="1459" w:type="dxa"/>
            <w:tcBorders>
              <w:left w:val="single" w:color="auto" w:sz="4" w:space="0"/>
            </w:tcBorders>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总汞</w:t>
            </w:r>
          </w:p>
        </w:tc>
        <w:tc>
          <w:tcPr>
            <w:tcW w:w="1698" w:type="dxa"/>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总出水口</w:t>
            </w:r>
          </w:p>
        </w:tc>
        <w:tc>
          <w:tcPr>
            <w:tcW w:w="1314" w:type="dxa"/>
            <w:vAlign w:val="center"/>
          </w:tcPr>
          <w:p>
            <w:pPr>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1次/</w:t>
            </w:r>
            <w:r>
              <w:rPr>
                <w:rFonts w:hint="eastAsia" w:ascii="宋体" w:hAnsi="宋体" w:cs="宋体"/>
                <w:color w:val="000000"/>
                <w:kern w:val="0"/>
                <w:sz w:val="24"/>
                <w:highlight w:val="none"/>
                <w:lang w:eastAsia="zh-CN"/>
              </w:rPr>
              <w:t>季度</w:t>
            </w:r>
          </w:p>
        </w:tc>
        <w:tc>
          <w:tcPr>
            <w:tcW w:w="2836" w:type="dxa"/>
            <w:vAlign w:val="center"/>
          </w:tcPr>
          <w:p>
            <w:pPr>
              <w:spacing w:line="320" w:lineRule="exact"/>
              <w:jc w:val="center"/>
              <w:rPr>
                <w:rFonts w:hint="eastAsia" w:ascii="宋体" w:hAnsi="宋体" w:eastAsia="宋体" w:cs="宋体"/>
                <w:bCs/>
                <w:sz w:val="18"/>
                <w:szCs w:val="18"/>
                <w:highlight w:val="none"/>
                <w:lang w:eastAsia="zh-CN"/>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0.001</w:t>
            </w:r>
          </w:p>
        </w:tc>
        <w:tc>
          <w:tcPr>
            <w:tcW w:w="1717" w:type="dxa"/>
            <w:vAlign w:val="center"/>
          </w:tcPr>
          <w:p>
            <w:pPr>
              <w:spacing w:line="320" w:lineRule="exact"/>
              <w:jc w:val="center"/>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冷原子吸收分光光度法</w:t>
            </w:r>
          </w:p>
        </w:tc>
        <w:tc>
          <w:tcPr>
            <w:tcW w:w="1550"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测汞仪</w:t>
            </w:r>
          </w:p>
        </w:tc>
        <w:tc>
          <w:tcPr>
            <w:tcW w:w="1267" w:type="dxa"/>
            <w:vMerge w:val="continue"/>
            <w:vAlign w:val="top"/>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ascii="宋体" w:hAnsi="宋体" w:eastAsia="宋体" w:cs="宋体"/>
                <w:sz w:val="24"/>
                <w:highlight w:val="none"/>
                <w:lang w:eastAsia="zh-CN"/>
              </w:rPr>
            </w:pPr>
            <w:r>
              <w:rPr>
                <w:rFonts w:hint="eastAsia" w:ascii="宋体" w:hAnsi="宋体" w:cs="宋体"/>
                <w:sz w:val="24"/>
                <w:highlight w:val="none"/>
                <w:lang w:eastAsia="zh-CN"/>
              </w:rPr>
              <w:t>总氰化物</w:t>
            </w:r>
          </w:p>
        </w:tc>
        <w:tc>
          <w:tcPr>
            <w:tcW w:w="1698" w:type="dxa"/>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总出水口</w:t>
            </w:r>
          </w:p>
        </w:tc>
        <w:tc>
          <w:tcPr>
            <w:tcW w:w="1314" w:type="dxa"/>
            <w:vAlign w:val="center"/>
          </w:tcPr>
          <w:p>
            <w:pPr>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1次/</w:t>
            </w:r>
            <w:r>
              <w:rPr>
                <w:rFonts w:hint="eastAsia" w:ascii="宋体" w:hAnsi="宋体" w:cs="宋体"/>
                <w:color w:val="000000"/>
                <w:kern w:val="0"/>
                <w:sz w:val="24"/>
                <w:highlight w:val="none"/>
                <w:lang w:eastAsia="zh-CN"/>
              </w:rPr>
              <w:t>季度</w:t>
            </w:r>
          </w:p>
        </w:tc>
        <w:tc>
          <w:tcPr>
            <w:tcW w:w="2836" w:type="dxa"/>
            <w:vAlign w:val="center"/>
          </w:tcPr>
          <w:p>
            <w:pPr>
              <w:spacing w:line="320" w:lineRule="exact"/>
              <w:jc w:val="center"/>
              <w:rPr>
                <w:rFonts w:hint="eastAsia" w:ascii="宋体" w:hAnsi="宋体" w:cs="宋体"/>
                <w:bCs/>
                <w:sz w:val="18"/>
                <w:szCs w:val="18"/>
                <w:highlight w:val="none"/>
                <w:lang w:eastAsia="zh-CN"/>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0.5</w:t>
            </w:r>
          </w:p>
        </w:tc>
        <w:tc>
          <w:tcPr>
            <w:tcW w:w="1717" w:type="dxa"/>
            <w:vAlign w:val="center"/>
          </w:tcPr>
          <w:p>
            <w:pPr>
              <w:spacing w:line="320" w:lineRule="exact"/>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真空检测管-电子比色法</w:t>
            </w:r>
          </w:p>
        </w:tc>
        <w:tc>
          <w:tcPr>
            <w:tcW w:w="1550" w:type="dxa"/>
            <w:vAlign w:val="center"/>
          </w:tcPr>
          <w:p>
            <w:pPr>
              <w:spacing w:line="320" w:lineRule="exact"/>
              <w:jc w:val="center"/>
              <w:rPr>
                <w:rFonts w:hint="eastAsia" w:ascii="宋体" w:hAnsi="宋体" w:eastAsia="宋体" w:cs="宋体"/>
                <w:sz w:val="24"/>
                <w:highlight w:val="none"/>
                <w:lang w:eastAsia="zh-CN"/>
              </w:rPr>
            </w:pPr>
            <w:r>
              <w:rPr>
                <w:rFonts w:hint="eastAsia" w:ascii="宋体" w:hAnsi="宋体" w:cs="宋体"/>
                <w:sz w:val="24"/>
                <w:highlight w:val="none"/>
                <w:lang w:eastAsia="zh-CN"/>
              </w:rPr>
              <w:t>比色管</w:t>
            </w:r>
          </w:p>
        </w:tc>
        <w:tc>
          <w:tcPr>
            <w:tcW w:w="1267" w:type="dxa"/>
            <w:vMerge w:val="continue"/>
            <w:vAlign w:val="top"/>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总砷</w:t>
            </w:r>
          </w:p>
        </w:tc>
        <w:tc>
          <w:tcPr>
            <w:tcW w:w="1698" w:type="dxa"/>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总出水口</w:t>
            </w:r>
          </w:p>
        </w:tc>
        <w:tc>
          <w:tcPr>
            <w:tcW w:w="1314" w:type="dxa"/>
            <w:vAlign w:val="center"/>
          </w:tcPr>
          <w:p>
            <w:pPr>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1次/</w:t>
            </w:r>
            <w:r>
              <w:rPr>
                <w:rFonts w:hint="eastAsia" w:ascii="宋体" w:hAnsi="宋体" w:cs="宋体"/>
                <w:color w:val="000000"/>
                <w:kern w:val="0"/>
                <w:sz w:val="24"/>
                <w:highlight w:val="none"/>
                <w:lang w:eastAsia="zh-CN"/>
              </w:rPr>
              <w:t>季度</w:t>
            </w:r>
          </w:p>
        </w:tc>
        <w:tc>
          <w:tcPr>
            <w:tcW w:w="2836" w:type="dxa"/>
            <w:vAlign w:val="center"/>
          </w:tcPr>
          <w:p>
            <w:pPr>
              <w:spacing w:line="320" w:lineRule="exact"/>
              <w:jc w:val="center"/>
              <w:rPr>
                <w:rFonts w:hint="eastAsia" w:ascii="宋体" w:hAnsi="宋体" w:eastAsia="宋体" w:cs="宋体"/>
                <w:bCs/>
                <w:sz w:val="18"/>
                <w:szCs w:val="18"/>
                <w:highlight w:val="none"/>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0.1</w:t>
            </w:r>
          </w:p>
        </w:tc>
        <w:tc>
          <w:tcPr>
            <w:tcW w:w="1717" w:type="dxa"/>
            <w:vAlign w:val="center"/>
          </w:tcPr>
          <w:p>
            <w:pPr>
              <w:spacing w:line="32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二乙氨基二硫代甲酸银光度法</w:t>
            </w:r>
          </w:p>
        </w:tc>
        <w:tc>
          <w:tcPr>
            <w:tcW w:w="1550"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分光光度计</w:t>
            </w:r>
          </w:p>
        </w:tc>
        <w:tc>
          <w:tcPr>
            <w:tcW w:w="1267" w:type="dxa"/>
            <w:vMerge w:val="continue"/>
            <w:vAlign w:val="top"/>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总铅</w:t>
            </w:r>
          </w:p>
        </w:tc>
        <w:tc>
          <w:tcPr>
            <w:tcW w:w="1698" w:type="dxa"/>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总出水口</w:t>
            </w:r>
          </w:p>
        </w:tc>
        <w:tc>
          <w:tcPr>
            <w:tcW w:w="1314" w:type="dxa"/>
            <w:vAlign w:val="center"/>
          </w:tcPr>
          <w:p>
            <w:pPr>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1次/</w:t>
            </w:r>
            <w:r>
              <w:rPr>
                <w:rFonts w:hint="eastAsia" w:ascii="宋体" w:hAnsi="宋体" w:cs="宋体"/>
                <w:color w:val="000000"/>
                <w:kern w:val="0"/>
                <w:sz w:val="24"/>
                <w:highlight w:val="none"/>
                <w:lang w:eastAsia="zh-CN"/>
              </w:rPr>
              <w:t>季度</w:t>
            </w:r>
          </w:p>
        </w:tc>
        <w:tc>
          <w:tcPr>
            <w:tcW w:w="2836" w:type="dxa"/>
            <w:vAlign w:val="center"/>
          </w:tcPr>
          <w:p>
            <w:pPr>
              <w:spacing w:line="320" w:lineRule="exact"/>
              <w:jc w:val="center"/>
              <w:rPr>
                <w:rFonts w:hint="eastAsia" w:ascii="宋体" w:hAnsi="宋体" w:eastAsia="宋体" w:cs="宋体"/>
                <w:bCs/>
                <w:sz w:val="18"/>
                <w:szCs w:val="18"/>
                <w:highlight w:val="none"/>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0.1</w:t>
            </w:r>
          </w:p>
        </w:tc>
        <w:tc>
          <w:tcPr>
            <w:tcW w:w="1717" w:type="dxa"/>
            <w:vAlign w:val="center"/>
          </w:tcPr>
          <w:p>
            <w:pPr>
              <w:spacing w:line="320" w:lineRule="exact"/>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原子吸收分光光度法</w:t>
            </w:r>
          </w:p>
        </w:tc>
        <w:tc>
          <w:tcPr>
            <w:tcW w:w="1550"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原子吸收分光光度计</w:t>
            </w:r>
          </w:p>
        </w:tc>
        <w:tc>
          <w:tcPr>
            <w:tcW w:w="1267" w:type="dxa"/>
            <w:vMerge w:val="continue"/>
            <w:vAlign w:val="top"/>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ascii="宋体" w:hAnsi="宋体" w:eastAsia="宋体" w:cs="宋体"/>
                <w:sz w:val="24"/>
                <w:highlight w:val="none"/>
                <w:lang w:eastAsia="zh-CN"/>
              </w:rPr>
            </w:pPr>
            <w:r>
              <w:rPr>
                <w:rFonts w:hint="eastAsia" w:ascii="宋体" w:hAnsi="宋体" w:cs="宋体"/>
                <w:sz w:val="24"/>
                <w:highlight w:val="none"/>
                <w:lang w:eastAsia="zh-CN"/>
              </w:rPr>
              <w:t>总锌</w:t>
            </w:r>
          </w:p>
        </w:tc>
        <w:tc>
          <w:tcPr>
            <w:tcW w:w="1698" w:type="dxa"/>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总出水口</w:t>
            </w:r>
          </w:p>
        </w:tc>
        <w:tc>
          <w:tcPr>
            <w:tcW w:w="1314" w:type="dxa"/>
            <w:vAlign w:val="center"/>
          </w:tcPr>
          <w:p>
            <w:pPr>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1次/</w:t>
            </w:r>
            <w:r>
              <w:rPr>
                <w:rFonts w:hint="eastAsia" w:ascii="宋体" w:hAnsi="宋体" w:cs="宋体"/>
                <w:color w:val="000000"/>
                <w:kern w:val="0"/>
                <w:sz w:val="24"/>
                <w:highlight w:val="none"/>
                <w:lang w:eastAsia="zh-CN"/>
              </w:rPr>
              <w:t>季度</w:t>
            </w:r>
          </w:p>
        </w:tc>
        <w:tc>
          <w:tcPr>
            <w:tcW w:w="2836" w:type="dxa"/>
            <w:vAlign w:val="center"/>
          </w:tcPr>
          <w:p>
            <w:pPr>
              <w:spacing w:line="320" w:lineRule="exact"/>
              <w:jc w:val="center"/>
              <w:rPr>
                <w:rFonts w:hint="eastAsia" w:ascii="宋体" w:hAnsi="宋体" w:cs="宋体"/>
                <w:bCs/>
                <w:sz w:val="18"/>
                <w:szCs w:val="18"/>
                <w:highlight w:val="none"/>
                <w:lang w:eastAsia="zh-CN"/>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1</w:t>
            </w:r>
          </w:p>
        </w:tc>
        <w:tc>
          <w:tcPr>
            <w:tcW w:w="1717" w:type="dxa"/>
            <w:vAlign w:val="center"/>
          </w:tcPr>
          <w:p>
            <w:pPr>
              <w:spacing w:line="320" w:lineRule="exact"/>
              <w:jc w:val="center"/>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原子吸收分光光度法</w:t>
            </w:r>
          </w:p>
        </w:tc>
        <w:tc>
          <w:tcPr>
            <w:tcW w:w="1550" w:type="dxa"/>
            <w:vAlign w:val="center"/>
          </w:tcPr>
          <w:p>
            <w:pPr>
              <w:spacing w:line="320" w:lineRule="exact"/>
              <w:jc w:val="center"/>
              <w:rPr>
                <w:rFonts w:hint="eastAsia" w:ascii="宋体" w:hAnsi="宋体" w:eastAsia="宋体" w:cs="宋体"/>
                <w:sz w:val="24"/>
                <w:highlight w:val="none"/>
                <w:lang w:eastAsia="zh-CN"/>
              </w:rPr>
            </w:pPr>
            <w:r>
              <w:rPr>
                <w:rFonts w:hint="eastAsia" w:ascii="宋体" w:hAnsi="宋体" w:cs="宋体"/>
                <w:sz w:val="24"/>
                <w:highlight w:val="none"/>
                <w:lang w:eastAsia="zh-CN"/>
              </w:rPr>
              <w:t>分光光度计</w:t>
            </w:r>
          </w:p>
        </w:tc>
        <w:tc>
          <w:tcPr>
            <w:tcW w:w="1267" w:type="dxa"/>
            <w:vMerge w:val="continue"/>
            <w:vAlign w:val="top"/>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sz w:val="24"/>
              </w:rPr>
            </w:pPr>
            <w:r>
              <w:rPr>
                <w:rFonts w:hint="eastAsia"/>
                <w:sz w:val="24"/>
              </w:rPr>
              <w:t>总镉</w:t>
            </w:r>
          </w:p>
        </w:tc>
        <w:tc>
          <w:tcPr>
            <w:tcW w:w="1698" w:type="dxa"/>
            <w:vAlign w:val="center"/>
          </w:tcPr>
          <w:p>
            <w:pPr>
              <w:jc w:val="center"/>
              <w:rPr>
                <w:rFonts w:hint="eastAsia" w:ascii="宋体" w:hAnsi="宋体" w:eastAsia="宋体" w:cs="宋体"/>
                <w:sz w:val="24"/>
              </w:rPr>
            </w:pPr>
            <w:r>
              <w:rPr>
                <w:rFonts w:hint="eastAsia" w:ascii="宋体" w:hAnsi="宋体" w:eastAsia="宋体" w:cs="宋体"/>
                <w:sz w:val="24"/>
              </w:rPr>
              <w:t>总出水口</w:t>
            </w:r>
          </w:p>
        </w:tc>
        <w:tc>
          <w:tcPr>
            <w:tcW w:w="1314" w:type="dxa"/>
            <w:vAlign w:val="center"/>
          </w:tcPr>
          <w:p>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1次/</w:t>
            </w:r>
            <w:r>
              <w:rPr>
                <w:rFonts w:hint="eastAsia" w:ascii="宋体" w:hAnsi="宋体" w:cs="宋体"/>
                <w:color w:val="000000"/>
                <w:kern w:val="0"/>
                <w:sz w:val="24"/>
                <w:lang w:eastAsia="zh-CN"/>
              </w:rPr>
              <w:t>季度</w:t>
            </w:r>
          </w:p>
        </w:tc>
        <w:tc>
          <w:tcPr>
            <w:tcW w:w="2836" w:type="dxa"/>
            <w:vAlign w:val="center"/>
          </w:tcPr>
          <w:p>
            <w:pPr>
              <w:spacing w:line="32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0.01</w:t>
            </w:r>
          </w:p>
        </w:tc>
        <w:tc>
          <w:tcPr>
            <w:tcW w:w="1717" w:type="dxa"/>
            <w:vAlign w:val="center"/>
          </w:tcPr>
          <w:p>
            <w:pPr>
              <w:spacing w:line="320" w:lineRule="exact"/>
              <w:jc w:val="center"/>
              <w:rPr>
                <w:rFonts w:hint="eastAsia" w:ascii="宋体" w:hAnsi="宋体" w:eastAsia="宋体" w:cs="宋体"/>
                <w:sz w:val="21"/>
                <w:szCs w:val="21"/>
              </w:rPr>
            </w:pPr>
            <w:r>
              <w:rPr>
                <w:rFonts w:hint="eastAsia" w:ascii="宋体" w:hAnsi="宋体" w:eastAsia="宋体" w:cs="宋体"/>
                <w:sz w:val="21"/>
                <w:szCs w:val="21"/>
                <w:lang w:eastAsia="zh-CN"/>
              </w:rPr>
              <w:t>原子吸收分光光度法</w:t>
            </w:r>
          </w:p>
        </w:tc>
        <w:tc>
          <w:tcPr>
            <w:tcW w:w="1550"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原子吸收分光光度计</w:t>
            </w:r>
          </w:p>
        </w:tc>
        <w:tc>
          <w:tcPr>
            <w:tcW w:w="1267" w:type="dxa"/>
            <w:vMerge w:val="continue"/>
            <w:vAlign w:val="top"/>
          </w:tcPr>
          <w:p>
            <w:pP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sz w:val="24"/>
                <w:highlight w:val="none"/>
              </w:rPr>
            </w:pPr>
            <w:r>
              <w:rPr>
                <w:rFonts w:hint="eastAsia"/>
                <w:sz w:val="24"/>
                <w:highlight w:val="none"/>
              </w:rPr>
              <w:t>总</w:t>
            </w:r>
            <w:r>
              <w:rPr>
                <w:rFonts w:hint="eastAsia"/>
                <w:sz w:val="24"/>
                <w:highlight w:val="none"/>
                <w:lang w:eastAsia="zh-CN"/>
              </w:rPr>
              <w:t>铬</w:t>
            </w:r>
          </w:p>
        </w:tc>
        <w:tc>
          <w:tcPr>
            <w:tcW w:w="1698" w:type="dxa"/>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总出水口</w:t>
            </w:r>
          </w:p>
        </w:tc>
        <w:tc>
          <w:tcPr>
            <w:tcW w:w="1314" w:type="dxa"/>
            <w:vAlign w:val="center"/>
          </w:tcPr>
          <w:p>
            <w:pPr>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1次/</w:t>
            </w:r>
            <w:r>
              <w:rPr>
                <w:rFonts w:hint="eastAsia" w:ascii="宋体" w:hAnsi="宋体" w:cs="宋体"/>
                <w:color w:val="000000"/>
                <w:kern w:val="0"/>
                <w:sz w:val="24"/>
                <w:highlight w:val="none"/>
                <w:lang w:eastAsia="zh-CN"/>
              </w:rPr>
              <w:t>季度</w:t>
            </w:r>
          </w:p>
        </w:tc>
        <w:tc>
          <w:tcPr>
            <w:tcW w:w="2836" w:type="dxa"/>
            <w:vAlign w:val="center"/>
          </w:tcPr>
          <w:p>
            <w:pPr>
              <w:spacing w:line="320" w:lineRule="exact"/>
              <w:jc w:val="center"/>
              <w:rPr>
                <w:rFonts w:hint="eastAsia" w:ascii="宋体" w:hAnsi="宋体" w:eastAsia="宋体" w:cs="宋体"/>
                <w:bCs/>
                <w:sz w:val="18"/>
                <w:szCs w:val="18"/>
                <w:highlight w:val="none"/>
                <w:lang w:eastAsia="zh-CN"/>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0.1</w:t>
            </w:r>
          </w:p>
        </w:tc>
        <w:tc>
          <w:tcPr>
            <w:tcW w:w="1717" w:type="dxa"/>
            <w:vAlign w:val="center"/>
          </w:tcPr>
          <w:p>
            <w:pPr>
              <w:spacing w:line="320" w:lineRule="exact"/>
              <w:jc w:val="center"/>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火焰原子吸收分光光度法</w:t>
            </w:r>
          </w:p>
        </w:tc>
        <w:tc>
          <w:tcPr>
            <w:tcW w:w="1550" w:type="dxa"/>
            <w:vAlign w:val="center"/>
          </w:tcPr>
          <w:p>
            <w:pPr>
              <w:spacing w:line="320" w:lineRule="exact"/>
              <w:jc w:val="center"/>
              <w:rPr>
                <w:rFonts w:hint="eastAsia" w:ascii="宋体" w:hAnsi="宋体" w:eastAsia="宋体" w:cs="宋体"/>
                <w:sz w:val="24"/>
                <w:highlight w:val="none"/>
              </w:rPr>
            </w:pPr>
            <w:r>
              <w:rPr>
                <w:rFonts w:hint="eastAsia" w:ascii="宋体" w:hAnsi="宋体" w:eastAsia="宋体" w:cs="宋体"/>
                <w:sz w:val="24"/>
                <w:highlight w:val="none"/>
              </w:rPr>
              <w:t>原子吸收分光光度计</w:t>
            </w:r>
          </w:p>
        </w:tc>
        <w:tc>
          <w:tcPr>
            <w:tcW w:w="1267" w:type="dxa"/>
            <w:vMerge w:val="continue"/>
            <w:vAlign w:val="top"/>
          </w:tcPr>
          <w:p>
            <w:pPr>
              <w:rPr>
                <w:rFonts w:hint="eastAsia" w:ascii="宋体" w:hAnsi="宋体" w:eastAsia="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782" w:type="dxa"/>
            <w:vMerge w:val="restart"/>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sz w:val="24"/>
                <w:highlight w:val="none"/>
                <w:lang w:eastAsia="zh-CN"/>
              </w:rPr>
            </w:pPr>
            <w:r>
              <w:rPr>
                <w:rFonts w:hint="eastAsia"/>
                <w:sz w:val="24"/>
                <w:highlight w:val="none"/>
                <w:lang w:eastAsia="zh-CN"/>
              </w:rPr>
              <w:t>烷基汞</w:t>
            </w:r>
          </w:p>
        </w:tc>
        <w:tc>
          <w:tcPr>
            <w:tcW w:w="1698" w:type="dxa"/>
            <w:vAlign w:val="center"/>
          </w:tcPr>
          <w:p>
            <w:pPr>
              <w:jc w:val="center"/>
              <w:rPr>
                <w:rFonts w:hint="eastAsia" w:ascii="宋体" w:hAnsi="宋体" w:eastAsia="宋体" w:cs="宋体"/>
                <w:sz w:val="24"/>
                <w:highlight w:val="none"/>
              </w:rPr>
            </w:pPr>
            <w:r>
              <w:rPr>
                <w:rFonts w:hint="eastAsia" w:ascii="宋体" w:hAnsi="宋体" w:eastAsia="宋体" w:cs="宋体"/>
                <w:sz w:val="24"/>
                <w:highlight w:val="none"/>
              </w:rPr>
              <w:t>总出水口</w:t>
            </w:r>
          </w:p>
        </w:tc>
        <w:tc>
          <w:tcPr>
            <w:tcW w:w="1314" w:type="dxa"/>
            <w:vAlign w:val="center"/>
          </w:tcPr>
          <w:p>
            <w:pPr>
              <w:jc w:val="center"/>
              <w:rPr>
                <w:rFonts w:hint="eastAsia" w:ascii="宋体" w:hAnsi="宋体" w:eastAsia="宋体" w:cs="宋体"/>
                <w:color w:val="000000"/>
                <w:kern w:val="0"/>
                <w:sz w:val="24"/>
                <w:highlight w:val="none"/>
              </w:rPr>
            </w:pPr>
            <w:r>
              <w:rPr>
                <w:rFonts w:hint="eastAsia" w:ascii="宋体" w:hAnsi="宋体" w:eastAsia="宋体" w:cs="宋体"/>
                <w:color w:val="000000"/>
                <w:kern w:val="0"/>
                <w:sz w:val="24"/>
                <w:highlight w:val="none"/>
              </w:rPr>
              <w:t>1次/</w:t>
            </w:r>
            <w:r>
              <w:rPr>
                <w:rFonts w:hint="eastAsia" w:ascii="宋体" w:hAnsi="宋体" w:cs="宋体"/>
                <w:color w:val="000000"/>
                <w:kern w:val="0"/>
                <w:sz w:val="24"/>
                <w:highlight w:val="none"/>
                <w:lang w:eastAsia="zh-CN"/>
              </w:rPr>
              <w:t>半年</w:t>
            </w:r>
          </w:p>
        </w:tc>
        <w:tc>
          <w:tcPr>
            <w:tcW w:w="2836" w:type="dxa"/>
            <w:vAlign w:val="center"/>
          </w:tcPr>
          <w:p>
            <w:pPr>
              <w:spacing w:line="320" w:lineRule="exact"/>
              <w:jc w:val="center"/>
              <w:rPr>
                <w:rFonts w:hint="eastAsia" w:ascii="宋体" w:hAnsi="宋体" w:eastAsia="宋体" w:cs="宋体"/>
                <w:bCs/>
                <w:sz w:val="18"/>
                <w:szCs w:val="18"/>
                <w:highlight w:val="none"/>
                <w:lang w:eastAsia="zh-CN"/>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不得检出</w:t>
            </w:r>
          </w:p>
        </w:tc>
        <w:tc>
          <w:tcPr>
            <w:tcW w:w="1717" w:type="dxa"/>
            <w:vAlign w:val="center"/>
          </w:tcPr>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气相色谱法</w:t>
            </w:r>
          </w:p>
        </w:tc>
        <w:tc>
          <w:tcPr>
            <w:tcW w:w="1550" w:type="dxa"/>
            <w:vAlign w:val="center"/>
          </w:tcPr>
          <w:p>
            <w:pPr>
              <w:spacing w:line="320" w:lineRule="exact"/>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原子吸收分光光度计</w:t>
            </w:r>
          </w:p>
        </w:tc>
        <w:tc>
          <w:tcPr>
            <w:tcW w:w="1267" w:type="dxa"/>
            <w:vAlign w:val="top"/>
          </w:tcPr>
          <w:p>
            <w:pPr>
              <w:rPr>
                <w:rFonts w:hint="eastAsia" w:ascii="宋体" w:hAnsi="宋体" w:eastAsia="宋体" w:cs="宋体"/>
                <w:sz w:val="24"/>
                <w:highlight w:val="none"/>
              </w:rPr>
            </w:pPr>
            <w:r>
              <w:rPr>
                <w:rFonts w:hint="eastAsia" w:ascii="宋体" w:hAnsi="宋体" w:eastAsia="宋体" w:cs="宋体"/>
                <w:sz w:val="24"/>
              </w:rPr>
              <w:t>委托</w:t>
            </w:r>
            <w:r>
              <w:rPr>
                <w:rFonts w:hint="eastAsia" w:ascii="宋体" w:hAnsi="宋体" w:eastAsia="宋体" w:cs="宋体"/>
                <w:sz w:val="24"/>
                <w:lang w:eastAsia="zh-CN"/>
              </w:rPr>
              <w:t>青岛维勘质量检测有限公司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782" w:type="dxa"/>
            <w:vMerge w:val="continue"/>
            <w:vAlign w:val="center"/>
          </w:tcPr>
          <w:p>
            <w:pPr>
              <w:spacing w:line="320" w:lineRule="exact"/>
              <w:jc w:val="center"/>
              <w:rPr>
                <w:sz w:val="24"/>
              </w:rPr>
            </w:pPr>
          </w:p>
        </w:tc>
        <w:tc>
          <w:tcPr>
            <w:tcW w:w="1459" w:type="dxa"/>
            <w:tcBorders>
              <w:left w:val="nil"/>
            </w:tcBorders>
            <w:vAlign w:val="center"/>
          </w:tcPr>
          <w:p>
            <w:pPr>
              <w:spacing w:line="320" w:lineRule="exact"/>
              <w:jc w:val="center"/>
              <w:rPr>
                <w:rFonts w:hint="eastAsia" w:ascii="宋体" w:hAnsi="宋体" w:eastAsia="宋体" w:cs="宋体"/>
                <w:sz w:val="24"/>
                <w:highlight w:val="none"/>
                <w:lang w:eastAsia="zh-CN"/>
              </w:rPr>
            </w:pPr>
            <w:r>
              <w:rPr>
                <w:rFonts w:hint="eastAsia" w:ascii="宋体" w:hAnsi="宋体" w:cs="宋体"/>
                <w:sz w:val="24"/>
                <w:highlight w:val="none"/>
                <w:lang w:eastAsia="zh-CN"/>
              </w:rPr>
              <w:t>氟化物</w:t>
            </w:r>
          </w:p>
        </w:tc>
        <w:tc>
          <w:tcPr>
            <w:tcW w:w="1698" w:type="dxa"/>
            <w:vAlign w:val="center"/>
          </w:tcPr>
          <w:p>
            <w:pPr>
              <w:jc w:val="center"/>
              <w:rPr>
                <w:rFonts w:hint="eastAsia" w:eastAsia="宋体"/>
                <w:highlight w:val="none"/>
                <w:lang w:eastAsia="zh-CN"/>
              </w:rPr>
            </w:pPr>
            <w:r>
              <w:rPr>
                <w:rFonts w:hint="eastAsia"/>
                <w:highlight w:val="none"/>
                <w:lang w:eastAsia="zh-CN"/>
              </w:rPr>
              <w:t>总出水口</w:t>
            </w:r>
          </w:p>
        </w:tc>
        <w:tc>
          <w:tcPr>
            <w:tcW w:w="1314" w:type="dxa"/>
            <w:vAlign w:val="center"/>
          </w:tcPr>
          <w:p>
            <w:pPr>
              <w:jc w:val="center"/>
              <w:rPr>
                <w:rFonts w:hint="default" w:ascii="宋体" w:hAnsi="宋体" w:eastAsia="宋体" w:cs="宋体"/>
                <w:color w:val="000000"/>
                <w:kern w:val="0"/>
                <w:sz w:val="24"/>
                <w:highlight w:val="none"/>
                <w:lang w:val="en-US" w:eastAsia="zh-CN"/>
              </w:rPr>
            </w:pPr>
            <w:r>
              <w:rPr>
                <w:rFonts w:hint="eastAsia" w:ascii="宋体" w:hAnsi="宋体" w:cs="宋体"/>
                <w:color w:val="000000"/>
                <w:kern w:val="0"/>
                <w:sz w:val="24"/>
                <w:highlight w:val="none"/>
                <w:lang w:val="en-US" w:eastAsia="zh-CN"/>
              </w:rPr>
              <w:t>1次/季度</w:t>
            </w:r>
          </w:p>
        </w:tc>
        <w:tc>
          <w:tcPr>
            <w:tcW w:w="2836" w:type="dxa"/>
            <w:vAlign w:val="center"/>
          </w:tcPr>
          <w:p>
            <w:pPr>
              <w:spacing w:line="320" w:lineRule="exact"/>
              <w:jc w:val="center"/>
              <w:rPr>
                <w:rFonts w:hint="eastAsia" w:ascii="宋体" w:hAnsi="宋体" w:eastAsia="宋体" w:cs="宋体"/>
                <w:bCs/>
                <w:sz w:val="18"/>
                <w:szCs w:val="18"/>
                <w:highlight w:val="none"/>
                <w:lang w:eastAsia="zh-CN"/>
              </w:rPr>
            </w:pPr>
            <w:r>
              <w:rPr>
                <w:rFonts w:hint="eastAsia" w:ascii="宋体" w:hAnsi="宋体" w:eastAsia="宋体" w:cs="宋体"/>
                <w:bCs/>
                <w:sz w:val="18"/>
                <w:szCs w:val="18"/>
                <w:highlight w:val="none"/>
              </w:rPr>
              <w:t>城镇污水处理厂污染物排放标准》（GB18918-2002）一级A标准</w:t>
            </w:r>
          </w:p>
        </w:tc>
        <w:tc>
          <w:tcPr>
            <w:tcW w:w="1092" w:type="dxa"/>
            <w:vAlign w:val="center"/>
          </w:tcPr>
          <w:p>
            <w:pPr>
              <w:spacing w:line="320" w:lineRule="exact"/>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717" w:type="dxa"/>
            <w:vAlign w:val="center"/>
          </w:tcPr>
          <w:p>
            <w:pPr>
              <w:spacing w:line="320" w:lineRule="exact"/>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水质氟化物的测定氟试剂分光光度法</w:t>
            </w:r>
          </w:p>
        </w:tc>
        <w:tc>
          <w:tcPr>
            <w:tcW w:w="1550" w:type="dxa"/>
            <w:vAlign w:val="center"/>
          </w:tcPr>
          <w:p>
            <w:pPr>
              <w:spacing w:line="320" w:lineRule="exact"/>
              <w:jc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分光光度计</w:t>
            </w:r>
          </w:p>
        </w:tc>
        <w:tc>
          <w:tcPr>
            <w:tcW w:w="1267" w:type="dxa"/>
            <w:vAlign w:val="top"/>
          </w:tcPr>
          <w:p>
            <w:pPr>
              <w:rPr>
                <w:rFonts w:hint="eastAsia" w:ascii="宋体" w:hAnsi="宋体" w:eastAsia="宋体" w:cs="宋体"/>
                <w:sz w:val="24"/>
                <w:highlight w:val="none"/>
              </w:rPr>
            </w:pPr>
            <w:r>
              <w:rPr>
                <w:rFonts w:hint="eastAsia" w:ascii="宋体" w:hAnsi="宋体" w:eastAsia="宋体" w:cs="宋体"/>
                <w:sz w:val="24"/>
              </w:rPr>
              <w:t>委托</w:t>
            </w:r>
            <w:r>
              <w:rPr>
                <w:rFonts w:hint="eastAsia" w:ascii="宋体" w:hAnsi="宋体" w:eastAsia="宋体" w:cs="宋体"/>
                <w:sz w:val="24"/>
                <w:lang w:eastAsia="zh-CN"/>
              </w:rPr>
              <w:t>青岛维勘质量检测有限公司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41" w:type="dxa"/>
            <w:gridSpan w:val="2"/>
            <w:vAlign w:val="center"/>
          </w:tcPr>
          <w:p>
            <w:pPr>
              <w:spacing w:line="380" w:lineRule="exact"/>
              <w:jc w:val="center"/>
              <w:rPr>
                <w:rFonts w:ascii="黑体" w:hAnsi="黑体" w:eastAsia="黑体"/>
                <w:b/>
                <w:sz w:val="24"/>
              </w:rPr>
            </w:pPr>
            <w:r>
              <w:rPr>
                <w:rFonts w:hint="eastAsia" w:ascii="黑体" w:hAnsi="黑体" w:eastAsia="黑体"/>
                <w:b/>
                <w:sz w:val="24"/>
              </w:rPr>
              <w:t>污染物排放方式</w:t>
            </w:r>
          </w:p>
          <w:p>
            <w:pPr>
              <w:spacing w:line="380" w:lineRule="exact"/>
              <w:jc w:val="center"/>
              <w:rPr>
                <w:sz w:val="24"/>
              </w:rPr>
            </w:pPr>
            <w:r>
              <w:rPr>
                <w:rFonts w:hint="eastAsia" w:ascii="黑体" w:hAnsi="黑体" w:eastAsia="黑体"/>
                <w:b/>
                <w:sz w:val="24"/>
              </w:rPr>
              <w:t>及排放去向</w:t>
            </w:r>
          </w:p>
        </w:tc>
        <w:tc>
          <w:tcPr>
            <w:tcW w:w="11474" w:type="dxa"/>
            <w:gridSpan w:val="7"/>
            <w:vAlign w:val="center"/>
          </w:tcPr>
          <w:p>
            <w:pPr>
              <w:spacing w:beforeLines="20" w:afterLines="20"/>
              <w:rPr>
                <w:rFonts w:ascii="仿宋_GB2312" w:hAnsi="宋体" w:eastAsia="仿宋_GB2312"/>
                <w:sz w:val="24"/>
              </w:rPr>
            </w:pPr>
            <w:r>
              <w:rPr>
                <w:rFonts w:hint="eastAsia" w:ascii="宋体" w:hAnsi="宋体" w:eastAsia="宋体" w:cs="宋体"/>
                <w:sz w:val="24"/>
              </w:rPr>
              <w:t>连续排放，</w:t>
            </w:r>
            <w:r>
              <w:rPr>
                <w:rFonts w:hint="eastAsia" w:ascii="宋体" w:hAnsi="宋体" w:cs="宋体"/>
                <w:sz w:val="24"/>
                <w:lang w:val="en-US" w:eastAsia="zh-CN"/>
              </w:rPr>
              <w:t>腊山河分洪道</w:t>
            </w:r>
            <w:r>
              <w:rPr>
                <w:rFonts w:hint="eastAsia" w:ascii="宋体" w:hAnsi="宋体" w:eastAsia="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2241" w:type="dxa"/>
            <w:gridSpan w:val="2"/>
            <w:vAlign w:val="center"/>
          </w:tcPr>
          <w:p>
            <w:pPr>
              <w:spacing w:line="380" w:lineRule="exact"/>
              <w:jc w:val="center"/>
              <w:rPr>
                <w:sz w:val="24"/>
              </w:rPr>
            </w:pPr>
            <w:r>
              <w:rPr>
                <w:rFonts w:hint="eastAsia" w:ascii="黑体" w:hAnsi="黑体" w:eastAsia="黑体"/>
                <w:b/>
                <w:sz w:val="24"/>
              </w:rPr>
              <w:t>监测质量控制措施</w:t>
            </w:r>
          </w:p>
        </w:tc>
        <w:tc>
          <w:tcPr>
            <w:tcW w:w="11474" w:type="dxa"/>
            <w:gridSpan w:val="7"/>
            <w:vAlign w:val="top"/>
          </w:tcPr>
          <w:p>
            <w:pPr>
              <w:numPr>
                <w:ilvl w:val="0"/>
                <w:numId w:val="3"/>
              </w:numPr>
              <w:spacing w:beforeLines="20" w:afterLines="20"/>
              <w:rPr>
                <w:rFonts w:hint="eastAsia" w:ascii="宋体" w:hAnsi="宋体" w:eastAsia="宋体" w:cs="宋体"/>
                <w:sz w:val="24"/>
              </w:rPr>
            </w:pPr>
            <w:r>
              <w:rPr>
                <w:rFonts w:hint="eastAsia" w:ascii="宋体" w:hAnsi="宋体" w:eastAsia="宋体" w:cs="宋体"/>
                <w:sz w:val="24"/>
              </w:rPr>
              <w:t>监测仪器每年进行计量检定，有合格证。进行标准样分析。</w:t>
            </w:r>
          </w:p>
          <w:p>
            <w:pPr>
              <w:numPr>
                <w:ilvl w:val="0"/>
                <w:numId w:val="3"/>
              </w:numPr>
              <w:spacing w:beforeLines="20" w:afterLines="20"/>
              <w:rPr>
                <w:rFonts w:hint="eastAsia" w:ascii="宋体" w:hAnsi="宋体" w:eastAsia="宋体" w:cs="宋体"/>
                <w:sz w:val="24"/>
              </w:rPr>
            </w:pPr>
            <w:r>
              <w:rPr>
                <w:rFonts w:hint="eastAsia" w:ascii="宋体" w:hAnsi="宋体" w:eastAsia="宋体" w:cs="宋体"/>
                <w:sz w:val="24"/>
              </w:rPr>
              <w:t>监测人人员持证上岗。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2241" w:type="dxa"/>
            <w:gridSpan w:val="2"/>
            <w:vAlign w:val="center"/>
          </w:tcPr>
          <w:p>
            <w:pPr>
              <w:spacing w:line="380" w:lineRule="exact"/>
              <w:jc w:val="center"/>
              <w:rPr>
                <w:rFonts w:ascii="黑体" w:hAnsi="黑体" w:eastAsia="黑体"/>
                <w:b/>
                <w:sz w:val="24"/>
              </w:rPr>
            </w:pPr>
            <w:r>
              <w:rPr>
                <w:rFonts w:hint="eastAsia" w:ascii="黑体" w:hAnsi="黑体" w:eastAsia="黑体"/>
                <w:b/>
                <w:sz w:val="24"/>
              </w:rPr>
              <w:t>监测结果</w:t>
            </w:r>
          </w:p>
          <w:p>
            <w:pPr>
              <w:spacing w:line="380" w:lineRule="exact"/>
              <w:jc w:val="center"/>
              <w:rPr>
                <w:sz w:val="24"/>
              </w:rPr>
            </w:pPr>
            <w:r>
              <w:rPr>
                <w:rFonts w:hint="eastAsia" w:ascii="黑体" w:hAnsi="黑体" w:eastAsia="黑体"/>
                <w:b/>
                <w:sz w:val="24"/>
              </w:rPr>
              <w:t>公开时限</w:t>
            </w:r>
          </w:p>
        </w:tc>
        <w:tc>
          <w:tcPr>
            <w:tcW w:w="11474" w:type="dxa"/>
            <w:gridSpan w:val="7"/>
            <w:vAlign w:val="top"/>
          </w:tcPr>
          <w:p>
            <w:pPr>
              <w:spacing w:beforeLines="20" w:afterLines="20"/>
              <w:jc w:val="left"/>
              <w:rPr>
                <w:rFonts w:hint="eastAsia" w:ascii="宋体" w:hAnsi="宋体" w:eastAsia="宋体" w:cs="宋体"/>
                <w:sz w:val="24"/>
              </w:rPr>
            </w:pPr>
          </w:p>
          <w:p>
            <w:pPr>
              <w:numPr>
                <w:ilvl w:val="0"/>
                <w:numId w:val="4"/>
              </w:numPr>
              <w:spacing w:beforeLines="20" w:afterLines="20"/>
              <w:jc w:val="left"/>
              <w:rPr>
                <w:rFonts w:hint="eastAsia" w:ascii="宋体" w:hAnsi="宋体" w:eastAsia="宋体" w:cs="宋体"/>
                <w:sz w:val="24"/>
              </w:rPr>
            </w:pPr>
            <w:r>
              <w:rPr>
                <w:rFonts w:hint="eastAsia" w:ascii="宋体" w:hAnsi="宋体" w:eastAsia="宋体" w:cs="宋体"/>
                <w:sz w:val="24"/>
                <w:lang w:eastAsia="zh-CN"/>
              </w:rPr>
              <w:t>日检项目次日公布</w:t>
            </w:r>
            <w:r>
              <w:rPr>
                <w:rFonts w:hint="eastAsia" w:ascii="宋体" w:hAnsi="宋体" w:eastAsia="宋体" w:cs="宋体"/>
                <w:sz w:val="24"/>
              </w:rPr>
              <w:t>。</w:t>
            </w:r>
          </w:p>
          <w:p>
            <w:pPr>
              <w:spacing w:beforeLines="20" w:afterLines="20"/>
              <w:rPr>
                <w:rFonts w:hint="eastAsia" w:ascii="宋体" w:hAnsi="宋体" w:eastAsia="宋体" w:cs="宋体"/>
                <w:sz w:val="24"/>
              </w:rPr>
            </w:pPr>
            <w:r>
              <w:rPr>
                <w:rFonts w:hint="eastAsia" w:ascii="宋体" w:hAnsi="宋体" w:eastAsia="宋体" w:cs="宋体"/>
                <w:sz w:val="24"/>
              </w:rPr>
              <w:t>2、</w:t>
            </w:r>
            <w:r>
              <w:rPr>
                <w:rFonts w:hint="eastAsia" w:ascii="宋体" w:hAnsi="宋体" w:eastAsia="宋体" w:cs="宋体"/>
                <w:sz w:val="24"/>
                <w:lang w:eastAsia="zh-CN"/>
              </w:rPr>
              <w:t>月检项目于次月</w:t>
            </w:r>
            <w:r>
              <w:rPr>
                <w:rFonts w:hint="eastAsia" w:ascii="宋体" w:hAnsi="宋体" w:eastAsia="宋体" w:cs="宋体"/>
                <w:sz w:val="24"/>
                <w:lang w:val="en-US" w:eastAsia="zh-CN"/>
              </w:rPr>
              <w:t>1-10日前公布</w:t>
            </w:r>
            <w:r>
              <w:rPr>
                <w:rFonts w:hint="eastAsia" w:ascii="宋体" w:hAnsi="宋体" w:eastAsia="宋体" w:cs="宋体"/>
                <w:sz w:val="24"/>
              </w:rPr>
              <w:t>。</w:t>
            </w:r>
          </w:p>
        </w:tc>
      </w:tr>
    </w:tbl>
    <w:p>
      <w:pPr>
        <w:spacing w:line="400" w:lineRule="exact"/>
        <w:jc w:val="left"/>
        <w:rPr>
          <w:rFonts w:hint="eastAsia"/>
          <w:sz w:val="24"/>
        </w:rPr>
      </w:pPr>
      <w:r>
        <w:rPr>
          <w:rFonts w:hint="eastAsia"/>
          <w:b/>
          <w:sz w:val="24"/>
        </w:rPr>
        <w:t>备注：</w:t>
      </w:r>
      <w:r>
        <w:rPr>
          <w:rFonts w:hint="eastAsia"/>
          <w:sz w:val="24"/>
        </w:rPr>
        <w:t>按照水污染物排放、大气污染物排放、厂界噪声和周边环境质量分表填写。</w:t>
      </w:r>
    </w:p>
    <w:p>
      <w:pPr>
        <w:rPr>
          <w:rFonts w:hint="eastAsia" w:ascii="Times New Roman" w:hAnsi="Times New Roman" w:eastAsia="宋体" w:cs="Times New Roman"/>
          <w:kern w:val="2"/>
          <w:sz w:val="24"/>
          <w:szCs w:val="24"/>
          <w:lang w:val="en-US" w:eastAsia="zh-CN" w:bidi="ar-SA"/>
        </w:rPr>
      </w:pPr>
    </w:p>
    <w:p>
      <w:pPr>
        <w:rPr>
          <w:rFonts w:hint="eastAsia" w:ascii="Times New Roman" w:hAnsi="Times New Roman" w:eastAsia="宋体" w:cs="Times New Roman"/>
          <w:kern w:val="2"/>
          <w:sz w:val="24"/>
          <w:szCs w:val="24"/>
          <w:lang w:val="en-US" w:eastAsia="zh-CN" w:bidi="ar-SA"/>
        </w:rPr>
      </w:pPr>
    </w:p>
    <w:p>
      <w:pPr>
        <w:tabs>
          <w:tab w:val="left" w:pos="514"/>
        </w:tabs>
        <w:jc w:val="left"/>
        <w:rPr>
          <w:rFonts w:hint="eastAsia" w:cs="Times New Roman"/>
          <w:kern w:val="2"/>
          <w:sz w:val="24"/>
          <w:szCs w:val="24"/>
          <w:lang w:val="en-US" w:eastAsia="zh-CN" w:bidi="ar-SA"/>
        </w:rPr>
      </w:pPr>
    </w:p>
    <w:p>
      <w:pPr>
        <w:spacing w:line="380" w:lineRule="exact"/>
        <w:jc w:val="center"/>
        <w:rPr>
          <w:rFonts w:hint="eastAsia" w:ascii="黑体" w:hAnsi="黑体" w:eastAsia="黑体"/>
          <w:b/>
          <w:sz w:val="32"/>
          <w:szCs w:val="32"/>
        </w:rPr>
      </w:pPr>
    </w:p>
    <w:p>
      <w:pPr>
        <w:spacing w:line="380" w:lineRule="exact"/>
        <w:jc w:val="center"/>
        <w:rPr>
          <w:rFonts w:hint="eastAsia" w:ascii="黑体" w:hAnsi="黑体" w:eastAsia="黑体"/>
          <w:b/>
          <w:sz w:val="32"/>
          <w:szCs w:val="32"/>
        </w:rPr>
      </w:pPr>
    </w:p>
    <w:p>
      <w:pPr>
        <w:spacing w:line="380" w:lineRule="exact"/>
        <w:jc w:val="center"/>
        <w:rPr>
          <w:rFonts w:hint="eastAsia" w:ascii="黑体" w:hAnsi="黑体" w:eastAsia="黑体"/>
          <w:b/>
          <w:sz w:val="32"/>
          <w:szCs w:val="32"/>
        </w:rPr>
      </w:pPr>
    </w:p>
    <w:p>
      <w:pPr>
        <w:spacing w:line="380" w:lineRule="exact"/>
        <w:jc w:val="center"/>
        <w:rPr>
          <w:rFonts w:ascii="黑体" w:hAnsi="黑体" w:eastAsia="黑体"/>
          <w:b/>
          <w:sz w:val="32"/>
          <w:szCs w:val="32"/>
        </w:rPr>
      </w:pPr>
      <w:r>
        <w:rPr>
          <w:rFonts w:hint="eastAsia" w:ascii="黑体" w:hAnsi="黑体" w:eastAsia="黑体"/>
          <w:b/>
          <w:sz w:val="32"/>
          <w:szCs w:val="32"/>
        </w:rPr>
        <w:t>自行监测内容表（</w:t>
      </w:r>
      <w:r>
        <w:rPr>
          <w:rFonts w:hint="eastAsia" w:ascii="黑体" w:hAnsi="黑体" w:eastAsia="黑体"/>
          <w:b/>
          <w:sz w:val="32"/>
          <w:szCs w:val="32"/>
          <w:lang w:eastAsia="zh-CN"/>
        </w:rPr>
        <w:t>雨水排放口</w:t>
      </w:r>
      <w:r>
        <w:rPr>
          <w:rFonts w:hint="eastAsia" w:ascii="黑体" w:hAnsi="黑体" w:eastAsia="黑体"/>
          <w:b/>
          <w:sz w:val="32"/>
          <w:szCs w:val="32"/>
        </w:rPr>
        <w:t>）</w:t>
      </w:r>
    </w:p>
    <w:tbl>
      <w:tblPr>
        <w:tblStyle w:val="2"/>
        <w:tblW w:w="1371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605"/>
        <w:gridCol w:w="1552"/>
        <w:gridCol w:w="1298"/>
        <w:gridCol w:w="2070"/>
        <w:gridCol w:w="1365"/>
        <w:gridCol w:w="2669"/>
        <w:gridCol w:w="1321"/>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2387" w:type="dxa"/>
            <w:gridSpan w:val="2"/>
            <w:tcBorders>
              <w:top w:val="single" w:color="auto" w:sz="12" w:space="0"/>
              <w:bottom w:val="single" w:color="auto" w:sz="12" w:space="0"/>
              <w:tl2br w:val="single" w:color="auto" w:sz="4" w:space="0"/>
            </w:tcBorders>
            <w:vAlign w:val="center"/>
          </w:tcPr>
          <w:p>
            <w:pPr>
              <w:spacing w:line="320" w:lineRule="exact"/>
              <w:ind w:firstLine="843" w:firstLineChars="350"/>
              <w:jc w:val="center"/>
              <w:rPr>
                <w:rFonts w:ascii="黑体" w:hAnsi="黑体" w:eastAsia="黑体"/>
                <w:b/>
                <w:sz w:val="24"/>
              </w:rPr>
            </w:pPr>
            <w:r>
              <w:rPr>
                <w:rFonts w:hint="eastAsia" w:ascii="黑体" w:hAnsi="黑体" w:eastAsia="黑体"/>
                <w:b/>
                <w:sz w:val="24"/>
              </w:rPr>
              <w:t>监测项目</w:t>
            </w:r>
          </w:p>
          <w:p>
            <w:pPr>
              <w:spacing w:line="320" w:lineRule="exact"/>
              <w:rPr>
                <w:rFonts w:ascii="黑体" w:hAnsi="黑体" w:eastAsia="黑体"/>
                <w:b/>
                <w:sz w:val="24"/>
              </w:rPr>
            </w:pPr>
            <w:r>
              <w:rPr>
                <w:rFonts w:hint="eastAsia" w:ascii="黑体" w:hAnsi="黑体" w:eastAsia="黑体"/>
                <w:b/>
                <w:sz w:val="24"/>
              </w:rPr>
              <w:t>监测内容</w:t>
            </w:r>
          </w:p>
        </w:tc>
        <w:tc>
          <w:tcPr>
            <w:tcW w:w="1552"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监测点位</w:t>
            </w:r>
          </w:p>
        </w:tc>
        <w:tc>
          <w:tcPr>
            <w:tcW w:w="1298"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监测频次</w:t>
            </w:r>
          </w:p>
        </w:tc>
        <w:tc>
          <w:tcPr>
            <w:tcW w:w="2070"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执行排放标准</w:t>
            </w:r>
          </w:p>
        </w:tc>
        <w:tc>
          <w:tcPr>
            <w:tcW w:w="1365"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标准限值</w:t>
            </w:r>
          </w:p>
        </w:tc>
        <w:tc>
          <w:tcPr>
            <w:tcW w:w="2669"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监测方法</w:t>
            </w:r>
          </w:p>
        </w:tc>
        <w:tc>
          <w:tcPr>
            <w:tcW w:w="1321"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分析仪器</w:t>
            </w:r>
          </w:p>
        </w:tc>
        <w:tc>
          <w:tcPr>
            <w:tcW w:w="1053"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82" w:type="dxa"/>
            <w:vMerge w:val="restart"/>
            <w:tcBorders>
              <w:top w:val="single" w:color="auto" w:sz="12" w:space="0"/>
            </w:tcBorders>
            <w:vAlign w:val="center"/>
          </w:tcPr>
          <w:p>
            <w:pPr>
              <w:spacing w:line="320" w:lineRule="exact"/>
              <w:jc w:val="center"/>
              <w:rPr>
                <w:rFonts w:ascii="黑体" w:hAnsi="黑体" w:eastAsia="黑体"/>
                <w:b/>
                <w:bCs/>
                <w:sz w:val="24"/>
              </w:rPr>
            </w:pPr>
            <w:r>
              <w:rPr>
                <w:rFonts w:hint="eastAsia" w:ascii="黑体" w:hAnsi="黑体" w:eastAsia="黑体"/>
                <w:b/>
                <w:bCs/>
                <w:sz w:val="24"/>
              </w:rPr>
              <w:t>监</w:t>
            </w:r>
          </w:p>
          <w:p>
            <w:pPr>
              <w:spacing w:line="320" w:lineRule="exact"/>
              <w:jc w:val="center"/>
              <w:rPr>
                <w:rFonts w:ascii="黑体" w:hAnsi="黑体" w:eastAsia="黑体"/>
                <w:b/>
                <w:bCs/>
                <w:sz w:val="24"/>
              </w:rPr>
            </w:pPr>
            <w:r>
              <w:rPr>
                <w:rFonts w:hint="eastAsia" w:ascii="黑体" w:hAnsi="黑体" w:eastAsia="黑体"/>
                <w:b/>
                <w:bCs/>
                <w:sz w:val="24"/>
              </w:rPr>
              <w:t>测</w:t>
            </w:r>
          </w:p>
          <w:p>
            <w:pPr>
              <w:spacing w:line="320" w:lineRule="exact"/>
              <w:jc w:val="center"/>
              <w:rPr>
                <w:rFonts w:ascii="黑体" w:hAnsi="黑体" w:eastAsia="黑体"/>
                <w:b/>
                <w:bCs/>
                <w:sz w:val="24"/>
              </w:rPr>
            </w:pPr>
            <w:r>
              <w:rPr>
                <w:rFonts w:hint="eastAsia" w:ascii="黑体" w:hAnsi="黑体" w:eastAsia="黑体"/>
                <w:b/>
                <w:bCs/>
                <w:sz w:val="24"/>
              </w:rPr>
              <w:t>指</w:t>
            </w:r>
          </w:p>
          <w:p>
            <w:pPr>
              <w:spacing w:line="320" w:lineRule="exact"/>
              <w:jc w:val="center"/>
              <w:rPr>
                <w:rFonts w:ascii="黑体" w:hAnsi="黑体" w:eastAsia="黑体"/>
                <w:b/>
                <w:bCs/>
                <w:sz w:val="24"/>
              </w:rPr>
            </w:pPr>
            <w:r>
              <w:rPr>
                <w:rFonts w:hint="eastAsia" w:ascii="黑体" w:hAnsi="黑体" w:eastAsia="黑体"/>
                <w:b/>
                <w:bCs/>
                <w:sz w:val="24"/>
              </w:rPr>
              <w:t>标</w:t>
            </w:r>
          </w:p>
          <w:p>
            <w:pPr>
              <w:spacing w:line="320" w:lineRule="exact"/>
              <w:jc w:val="center"/>
              <w:rPr>
                <w:bCs/>
                <w:sz w:val="24"/>
              </w:rPr>
            </w:pPr>
          </w:p>
        </w:tc>
        <w:tc>
          <w:tcPr>
            <w:tcW w:w="1605" w:type="dxa"/>
            <w:tcBorders>
              <w:top w:val="single" w:color="auto" w:sz="4" w:space="0"/>
              <w:bottom w:val="single" w:color="auto" w:sz="4" w:space="0"/>
            </w:tcBorders>
            <w:vAlign w:val="center"/>
          </w:tcPr>
          <w:p>
            <w:pPr>
              <w:spacing w:line="320" w:lineRule="exact"/>
              <w:jc w:val="center"/>
              <w:rPr>
                <w:rFonts w:hint="default" w:ascii="宋体" w:hAnsi="宋体" w:eastAsia="宋体" w:cs="宋体"/>
                <w:sz w:val="24"/>
                <w:lang w:val="en-US" w:eastAsia="zh-CN"/>
              </w:rPr>
            </w:pPr>
            <w:r>
              <w:rPr>
                <w:rFonts w:hint="eastAsia" w:ascii="宋体" w:hAnsi="宋体" w:cs="宋体"/>
                <w:sz w:val="24"/>
                <w:lang w:val="en-US" w:eastAsia="zh-CN"/>
              </w:rPr>
              <w:t>COD</w:t>
            </w:r>
          </w:p>
        </w:tc>
        <w:tc>
          <w:tcPr>
            <w:tcW w:w="1552" w:type="dxa"/>
            <w:vAlign w:val="center"/>
          </w:tcPr>
          <w:p>
            <w:pPr>
              <w:spacing w:line="320" w:lineRule="exact"/>
              <w:jc w:val="center"/>
              <w:rPr>
                <w:rFonts w:hint="eastAsia" w:ascii="宋体" w:hAnsi="宋体" w:eastAsia="宋体" w:cs="宋体"/>
                <w:sz w:val="24"/>
                <w:lang w:eastAsia="zh-CN"/>
              </w:rPr>
            </w:pPr>
            <w:r>
              <w:rPr>
                <w:rFonts w:hint="eastAsia" w:ascii="宋体" w:hAnsi="宋体" w:cs="宋体"/>
                <w:sz w:val="24"/>
                <w:lang w:eastAsia="zh-CN"/>
              </w:rPr>
              <w:t>雨水排放口</w:t>
            </w:r>
          </w:p>
        </w:tc>
        <w:tc>
          <w:tcPr>
            <w:tcW w:w="1298"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次</w:t>
            </w:r>
            <w:r>
              <w:rPr>
                <w:rFonts w:hint="eastAsia" w:ascii="宋体" w:hAnsi="宋体" w:eastAsia="宋体" w:cs="宋体"/>
                <w:sz w:val="24"/>
              </w:rPr>
              <w:t>/</w:t>
            </w:r>
            <w:r>
              <w:rPr>
                <w:rFonts w:hint="eastAsia" w:ascii="宋体" w:hAnsi="宋体" w:cs="宋体"/>
                <w:sz w:val="24"/>
                <w:lang w:eastAsia="zh-CN"/>
              </w:rPr>
              <w:t>日</w:t>
            </w:r>
          </w:p>
        </w:tc>
        <w:tc>
          <w:tcPr>
            <w:tcW w:w="2070" w:type="dxa"/>
            <w:vMerge w:val="restart"/>
            <w:vAlign w:val="center"/>
          </w:tcPr>
          <w:p>
            <w:pPr>
              <w:spacing w:line="320" w:lineRule="exact"/>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排污许可证</w:t>
            </w:r>
          </w:p>
        </w:tc>
        <w:tc>
          <w:tcPr>
            <w:tcW w:w="1365" w:type="dxa"/>
            <w:vAlign w:val="center"/>
          </w:tcPr>
          <w:p>
            <w:pPr>
              <w:spacing w:line="320" w:lineRule="exact"/>
              <w:jc w:val="center"/>
              <w:rPr>
                <w:rFonts w:hint="eastAsia" w:ascii="宋体" w:hAnsi="宋体" w:eastAsia="宋体" w:cs="宋体"/>
                <w:sz w:val="24"/>
                <w:lang w:val="en-US" w:eastAsia="zh-CN"/>
              </w:rPr>
            </w:pPr>
            <w:r>
              <w:rPr>
                <w:rFonts w:hint="eastAsia" w:ascii="宋体" w:hAnsi="宋体" w:cs="宋体"/>
                <w:sz w:val="24"/>
                <w:lang w:val="en-US" w:eastAsia="zh-CN"/>
              </w:rPr>
              <w:t>45</w:t>
            </w:r>
            <w:r>
              <w:rPr>
                <w:rFonts w:hint="eastAsia" w:ascii="宋体" w:hAnsi="宋体" w:eastAsia="宋体" w:cs="宋体"/>
                <w:sz w:val="24"/>
                <w:lang w:val="en-US" w:eastAsia="zh-CN"/>
              </w:rPr>
              <w:t>mg</w:t>
            </w:r>
            <w:bookmarkStart w:id="0" w:name="_GoBack"/>
            <w:bookmarkEnd w:id="0"/>
            <w:r>
              <w:rPr>
                <w:rFonts w:hint="eastAsia" w:ascii="宋体" w:hAnsi="宋体" w:eastAsia="宋体" w:cs="宋体"/>
                <w:sz w:val="24"/>
                <w:lang w:val="en-US" w:eastAsia="zh-CN"/>
              </w:rPr>
              <w:t>/</w:t>
            </w:r>
            <w:r>
              <w:rPr>
                <w:rFonts w:hint="eastAsia" w:ascii="宋体" w:hAnsi="宋体" w:cs="宋体"/>
                <w:sz w:val="24"/>
                <w:lang w:val="en-US" w:eastAsia="zh-CN"/>
              </w:rPr>
              <w:t>L</w:t>
            </w:r>
          </w:p>
        </w:tc>
        <w:tc>
          <w:tcPr>
            <w:tcW w:w="2669" w:type="dxa"/>
            <w:vAlign w:val="center"/>
          </w:tcPr>
          <w:p>
            <w:pPr>
              <w:keepNext w:val="0"/>
              <w:keepLines w:val="0"/>
              <w:widowControl/>
              <w:suppressLineNumbers w:val="0"/>
              <w:jc w:val="left"/>
              <w:rPr>
                <w:rFonts w:hint="eastAsia" w:ascii="宋体" w:hAnsi="宋体" w:eastAsia="宋体" w:cs="宋体"/>
                <w:sz w:val="24"/>
                <w:lang w:val="en-US" w:eastAsia="zh-CN"/>
              </w:rPr>
            </w:pPr>
            <w:r>
              <w:rPr>
                <w:rFonts w:hint="eastAsia" w:ascii="宋体" w:hAnsi="宋体" w:cs="宋体"/>
                <w:sz w:val="24"/>
                <w:lang w:val="en-US" w:eastAsia="zh-CN"/>
              </w:rPr>
              <w:t>重铬酸盐法</w:t>
            </w:r>
            <w:r>
              <w:rPr>
                <w:rFonts w:hint="eastAsia" w:ascii="宋体" w:hAnsi="宋体" w:eastAsia="宋体" w:cs="宋体"/>
                <w:color w:val="000000"/>
                <w:kern w:val="0"/>
                <w:sz w:val="21"/>
                <w:szCs w:val="21"/>
                <w:lang w:val="en-US" w:eastAsia="zh-CN" w:bidi="ar"/>
              </w:rPr>
              <w:t xml:space="preserve">HJ 828-2017 </w:t>
            </w:r>
          </w:p>
        </w:tc>
        <w:tc>
          <w:tcPr>
            <w:tcW w:w="1321" w:type="dxa"/>
            <w:vAlign w:val="center"/>
          </w:tcPr>
          <w:p>
            <w:pPr>
              <w:spacing w:line="320" w:lineRule="exact"/>
              <w:jc w:val="center"/>
              <w:rPr>
                <w:rFonts w:hint="eastAsia" w:ascii="宋体" w:hAnsi="宋体" w:eastAsia="宋体" w:cs="宋体"/>
                <w:sz w:val="24"/>
                <w:lang w:val="en-US" w:eastAsia="zh-CN"/>
              </w:rPr>
            </w:pPr>
          </w:p>
        </w:tc>
        <w:tc>
          <w:tcPr>
            <w:tcW w:w="1053" w:type="dxa"/>
            <w:vMerge w:val="restart"/>
            <w:vAlign w:val="center"/>
          </w:tcPr>
          <w:p>
            <w:pPr>
              <w:spacing w:line="320" w:lineRule="exact"/>
              <w:jc w:val="center"/>
              <w:rPr>
                <w:rFonts w:hint="eastAsia" w:ascii="宋体" w:hAnsi="宋体" w:eastAsia="宋体" w:cs="宋体"/>
                <w:sz w:val="24"/>
                <w:lang w:eastAsia="zh-CN"/>
              </w:rPr>
            </w:pPr>
            <w:r>
              <w:rPr>
                <w:rFonts w:hint="eastAsia" w:ascii="宋体" w:hAnsi="宋体" w:cs="宋体"/>
                <w:sz w:val="24"/>
                <w:lang w:eastAsia="zh-CN"/>
              </w:rPr>
              <w:t>手工检测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82" w:type="dxa"/>
            <w:vMerge w:val="continue"/>
            <w:vAlign w:val="center"/>
          </w:tcPr>
          <w:p>
            <w:pPr>
              <w:spacing w:line="320" w:lineRule="exact"/>
              <w:jc w:val="center"/>
              <w:rPr>
                <w:bCs/>
                <w:sz w:val="24"/>
              </w:rPr>
            </w:pPr>
          </w:p>
        </w:tc>
        <w:tc>
          <w:tcPr>
            <w:tcW w:w="1605" w:type="dxa"/>
            <w:tcBorders>
              <w:top w:val="single" w:color="auto" w:sz="4" w:space="0"/>
              <w:bottom w:val="single" w:color="auto" w:sz="4" w:space="0"/>
            </w:tcBorders>
            <w:vAlign w:val="center"/>
          </w:tcPr>
          <w:p>
            <w:pPr>
              <w:spacing w:line="320" w:lineRule="exact"/>
              <w:jc w:val="center"/>
              <w:rPr>
                <w:rFonts w:hint="eastAsia" w:ascii="宋体" w:hAnsi="宋体" w:eastAsia="宋体" w:cs="宋体"/>
                <w:sz w:val="24"/>
                <w:lang w:val="en-US" w:eastAsia="zh-CN"/>
              </w:rPr>
            </w:pPr>
            <w:r>
              <w:rPr>
                <w:rFonts w:hint="eastAsia" w:ascii="宋体" w:hAnsi="宋体" w:cs="宋体"/>
                <w:sz w:val="24"/>
                <w:lang w:val="en-US" w:eastAsia="zh-CN"/>
              </w:rPr>
              <w:t>氨氮</w:t>
            </w:r>
          </w:p>
        </w:tc>
        <w:tc>
          <w:tcPr>
            <w:tcW w:w="1552" w:type="dxa"/>
            <w:vAlign w:val="center"/>
          </w:tcPr>
          <w:p>
            <w:pPr>
              <w:spacing w:line="320" w:lineRule="exact"/>
              <w:jc w:val="center"/>
              <w:rPr>
                <w:rFonts w:hint="eastAsia" w:ascii="宋体" w:hAnsi="宋体" w:eastAsia="宋体" w:cs="宋体"/>
                <w:sz w:val="24"/>
              </w:rPr>
            </w:pPr>
            <w:r>
              <w:rPr>
                <w:rFonts w:hint="eastAsia" w:ascii="宋体" w:hAnsi="宋体" w:cs="宋体"/>
                <w:sz w:val="24"/>
                <w:lang w:eastAsia="zh-CN"/>
              </w:rPr>
              <w:t>雨水排放口</w:t>
            </w:r>
          </w:p>
        </w:tc>
        <w:tc>
          <w:tcPr>
            <w:tcW w:w="1298"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次</w:t>
            </w:r>
            <w:r>
              <w:rPr>
                <w:rFonts w:hint="eastAsia" w:ascii="宋体" w:hAnsi="宋体" w:eastAsia="宋体" w:cs="宋体"/>
                <w:sz w:val="24"/>
              </w:rPr>
              <w:t>/</w:t>
            </w:r>
            <w:r>
              <w:rPr>
                <w:rFonts w:hint="eastAsia" w:ascii="宋体" w:hAnsi="宋体" w:cs="宋体"/>
                <w:sz w:val="24"/>
                <w:lang w:eastAsia="zh-CN"/>
              </w:rPr>
              <w:t>日</w:t>
            </w:r>
          </w:p>
        </w:tc>
        <w:tc>
          <w:tcPr>
            <w:tcW w:w="2070" w:type="dxa"/>
            <w:vMerge w:val="continue"/>
            <w:vAlign w:val="center"/>
          </w:tcPr>
          <w:p>
            <w:pPr>
              <w:spacing w:line="320" w:lineRule="exact"/>
              <w:jc w:val="center"/>
              <w:rPr>
                <w:rFonts w:hint="eastAsia" w:ascii="宋体" w:hAnsi="宋体" w:eastAsia="宋体" w:cs="宋体"/>
                <w:color w:val="auto"/>
                <w:sz w:val="24"/>
              </w:rPr>
            </w:pPr>
          </w:p>
        </w:tc>
        <w:tc>
          <w:tcPr>
            <w:tcW w:w="1365" w:type="dxa"/>
            <w:vAlign w:val="center"/>
          </w:tcPr>
          <w:p>
            <w:pPr>
              <w:spacing w:line="320" w:lineRule="exact"/>
              <w:jc w:val="center"/>
              <w:rPr>
                <w:rFonts w:hint="eastAsia" w:ascii="宋体" w:hAnsi="宋体" w:eastAsia="宋体" w:cs="宋体"/>
                <w:sz w:val="24"/>
                <w:lang w:val="en-US" w:eastAsia="zh-CN"/>
              </w:rPr>
            </w:pPr>
            <w:r>
              <w:rPr>
                <w:rFonts w:hint="eastAsia" w:ascii="宋体" w:hAnsi="宋体" w:cs="宋体"/>
                <w:sz w:val="24"/>
                <w:lang w:val="en-US" w:eastAsia="zh-CN"/>
              </w:rPr>
              <w:t>2</w:t>
            </w:r>
            <w:r>
              <w:rPr>
                <w:rFonts w:hint="eastAsia" w:ascii="宋体" w:hAnsi="宋体" w:eastAsia="宋体" w:cs="宋体"/>
                <w:sz w:val="24"/>
                <w:lang w:val="en-US" w:eastAsia="zh-CN"/>
              </w:rPr>
              <w:t>mg/</w:t>
            </w:r>
            <w:r>
              <w:rPr>
                <w:rFonts w:hint="eastAsia" w:ascii="宋体" w:hAnsi="宋体" w:cs="宋体"/>
                <w:sz w:val="24"/>
                <w:lang w:val="en-US" w:eastAsia="zh-CN"/>
              </w:rPr>
              <w:t>L</w:t>
            </w:r>
          </w:p>
        </w:tc>
        <w:tc>
          <w:tcPr>
            <w:tcW w:w="2669" w:type="dxa"/>
            <w:vAlign w:val="center"/>
          </w:tcPr>
          <w:p>
            <w:pPr>
              <w:keepNext w:val="0"/>
              <w:keepLines w:val="0"/>
              <w:widowControl/>
              <w:suppressLineNumbers w:val="0"/>
              <w:jc w:val="left"/>
              <w:rPr>
                <w:rFonts w:hint="eastAsia" w:ascii="宋体" w:hAnsi="宋体" w:eastAsia="宋体" w:cs="宋体"/>
                <w:sz w:val="24"/>
                <w:lang w:val="en-US" w:eastAsia="zh-CN"/>
              </w:rPr>
            </w:pPr>
            <w:r>
              <w:rPr>
                <w:rFonts w:hint="eastAsia" w:ascii="宋体" w:hAnsi="宋体" w:cs="宋体"/>
                <w:sz w:val="24"/>
                <w:lang w:val="en-US" w:eastAsia="zh-CN"/>
              </w:rPr>
              <w:t>水杨酸分光光度法</w:t>
            </w:r>
            <w:r>
              <w:rPr>
                <w:rFonts w:hint="eastAsia" w:ascii="宋体" w:hAnsi="宋体" w:eastAsia="宋体" w:cs="宋体"/>
                <w:color w:val="000000"/>
                <w:kern w:val="0"/>
                <w:sz w:val="21"/>
                <w:szCs w:val="21"/>
                <w:lang w:val="en-US" w:eastAsia="zh-CN" w:bidi="ar"/>
              </w:rPr>
              <w:t xml:space="preserve">HJ 536-2009 </w:t>
            </w:r>
          </w:p>
        </w:tc>
        <w:tc>
          <w:tcPr>
            <w:tcW w:w="1321" w:type="dxa"/>
            <w:vAlign w:val="center"/>
          </w:tcPr>
          <w:p>
            <w:pPr>
              <w:spacing w:line="320" w:lineRule="exact"/>
              <w:jc w:val="center"/>
              <w:rPr>
                <w:rFonts w:hint="eastAsia" w:ascii="宋体" w:hAnsi="宋体" w:eastAsia="宋体" w:cs="宋体"/>
                <w:sz w:val="24"/>
                <w:lang w:val="en-US" w:eastAsia="zh-CN"/>
              </w:rPr>
            </w:pPr>
            <w:r>
              <w:rPr>
                <w:rFonts w:hint="eastAsia" w:ascii="宋体" w:hAnsi="宋体" w:cs="宋体"/>
                <w:sz w:val="24"/>
                <w:lang w:val="en-US" w:eastAsia="zh-CN"/>
              </w:rPr>
              <w:t>分光光度计</w:t>
            </w:r>
          </w:p>
        </w:tc>
        <w:tc>
          <w:tcPr>
            <w:tcW w:w="1053" w:type="dxa"/>
            <w:vMerge w:val="continue"/>
            <w:vAlign w:val="top"/>
          </w:tcPr>
          <w:p>
            <w:pPr>
              <w:spacing w:line="32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82" w:type="dxa"/>
            <w:vMerge w:val="continue"/>
            <w:vAlign w:val="center"/>
          </w:tcPr>
          <w:p>
            <w:pPr>
              <w:spacing w:line="320" w:lineRule="exact"/>
              <w:jc w:val="center"/>
              <w:rPr>
                <w:bCs/>
                <w:sz w:val="24"/>
              </w:rPr>
            </w:pPr>
          </w:p>
        </w:tc>
        <w:tc>
          <w:tcPr>
            <w:tcW w:w="1605" w:type="dxa"/>
            <w:tcBorders>
              <w:top w:val="single" w:color="auto" w:sz="4" w:space="0"/>
              <w:bottom w:val="single" w:color="auto" w:sz="4" w:space="0"/>
            </w:tcBorders>
            <w:vAlign w:val="center"/>
          </w:tcPr>
          <w:p>
            <w:pPr>
              <w:spacing w:line="320" w:lineRule="exact"/>
              <w:jc w:val="center"/>
              <w:rPr>
                <w:rFonts w:hint="default" w:ascii="宋体" w:hAnsi="宋体" w:eastAsia="宋体" w:cs="宋体"/>
                <w:sz w:val="24"/>
                <w:lang w:val="en-US" w:eastAsia="zh-CN"/>
              </w:rPr>
            </w:pPr>
            <w:r>
              <w:rPr>
                <w:rFonts w:hint="eastAsia" w:ascii="宋体" w:hAnsi="宋体" w:cs="宋体"/>
                <w:sz w:val="24"/>
                <w:lang w:val="en-US" w:eastAsia="zh-CN"/>
              </w:rPr>
              <w:t>PH</w:t>
            </w:r>
          </w:p>
        </w:tc>
        <w:tc>
          <w:tcPr>
            <w:tcW w:w="1552" w:type="dxa"/>
            <w:vAlign w:val="center"/>
          </w:tcPr>
          <w:p>
            <w:pPr>
              <w:spacing w:line="320" w:lineRule="exact"/>
              <w:jc w:val="center"/>
              <w:rPr>
                <w:rFonts w:hint="eastAsia" w:ascii="宋体" w:hAnsi="宋体" w:eastAsia="宋体" w:cs="宋体"/>
                <w:sz w:val="24"/>
                <w:lang w:val="en-US" w:eastAsia="zh-CN"/>
              </w:rPr>
            </w:pPr>
            <w:r>
              <w:rPr>
                <w:rFonts w:hint="eastAsia" w:ascii="宋体" w:hAnsi="宋体" w:cs="宋体"/>
                <w:sz w:val="24"/>
                <w:lang w:eastAsia="zh-CN"/>
              </w:rPr>
              <w:t>雨水排放口</w:t>
            </w:r>
          </w:p>
        </w:tc>
        <w:tc>
          <w:tcPr>
            <w:tcW w:w="1298"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次</w:t>
            </w:r>
            <w:r>
              <w:rPr>
                <w:rFonts w:hint="eastAsia" w:ascii="宋体" w:hAnsi="宋体" w:eastAsia="宋体" w:cs="宋体"/>
                <w:sz w:val="24"/>
              </w:rPr>
              <w:t>/</w:t>
            </w:r>
            <w:r>
              <w:rPr>
                <w:rFonts w:hint="eastAsia" w:ascii="宋体" w:hAnsi="宋体" w:cs="宋体"/>
                <w:sz w:val="24"/>
                <w:lang w:eastAsia="zh-CN"/>
              </w:rPr>
              <w:t>日</w:t>
            </w:r>
          </w:p>
        </w:tc>
        <w:tc>
          <w:tcPr>
            <w:tcW w:w="2070" w:type="dxa"/>
            <w:vMerge w:val="continue"/>
            <w:vAlign w:val="center"/>
          </w:tcPr>
          <w:p>
            <w:pPr>
              <w:spacing w:line="320" w:lineRule="exact"/>
              <w:jc w:val="center"/>
              <w:rPr>
                <w:rFonts w:hint="eastAsia" w:ascii="宋体" w:hAnsi="宋体" w:eastAsia="宋体" w:cs="宋体"/>
                <w:sz w:val="24"/>
              </w:rPr>
            </w:pPr>
          </w:p>
        </w:tc>
        <w:tc>
          <w:tcPr>
            <w:tcW w:w="1365" w:type="dxa"/>
            <w:vAlign w:val="center"/>
          </w:tcPr>
          <w:p>
            <w:pPr>
              <w:spacing w:line="320" w:lineRule="exact"/>
              <w:jc w:val="center"/>
              <w:rPr>
                <w:rFonts w:hint="default" w:ascii="宋体" w:hAnsi="宋体" w:eastAsia="宋体" w:cs="宋体"/>
                <w:sz w:val="24"/>
                <w:lang w:val="en-US" w:eastAsia="zh-CN"/>
              </w:rPr>
            </w:pPr>
            <w:r>
              <w:rPr>
                <w:rFonts w:hint="eastAsia" w:ascii="宋体" w:hAnsi="宋体" w:cs="宋体"/>
                <w:sz w:val="24"/>
                <w:lang w:val="en-US" w:eastAsia="zh-CN"/>
              </w:rPr>
              <w:t>6-9</w:t>
            </w:r>
          </w:p>
        </w:tc>
        <w:tc>
          <w:tcPr>
            <w:tcW w:w="2669" w:type="dxa"/>
            <w:vAlign w:val="center"/>
          </w:tcPr>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pH值的测定玻璃电极法GB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6920-1986 </w:t>
            </w:r>
          </w:p>
          <w:p>
            <w:pPr>
              <w:spacing w:line="380" w:lineRule="exact"/>
              <w:rPr>
                <w:rFonts w:hint="eastAsia" w:ascii="宋体" w:hAnsi="宋体" w:eastAsia="宋体" w:cs="宋体"/>
                <w:sz w:val="24"/>
                <w:lang w:val="en-US" w:eastAsia="zh-CN"/>
              </w:rPr>
            </w:pPr>
          </w:p>
        </w:tc>
        <w:tc>
          <w:tcPr>
            <w:tcW w:w="1321" w:type="dxa"/>
            <w:vAlign w:val="center"/>
          </w:tcPr>
          <w:p>
            <w:pPr>
              <w:spacing w:line="320" w:lineRule="exact"/>
              <w:jc w:val="center"/>
              <w:rPr>
                <w:rFonts w:hint="default" w:ascii="宋体" w:hAnsi="宋体" w:eastAsia="宋体" w:cs="宋体"/>
                <w:sz w:val="24"/>
                <w:lang w:val="en-US" w:eastAsia="zh-CN"/>
              </w:rPr>
            </w:pPr>
            <w:r>
              <w:rPr>
                <w:rFonts w:hint="eastAsia" w:ascii="宋体" w:hAnsi="宋体" w:cs="宋体"/>
                <w:sz w:val="24"/>
                <w:lang w:val="en-US" w:eastAsia="zh-CN"/>
              </w:rPr>
              <w:t>PH计</w:t>
            </w:r>
          </w:p>
        </w:tc>
        <w:tc>
          <w:tcPr>
            <w:tcW w:w="1053" w:type="dxa"/>
            <w:vMerge w:val="continue"/>
            <w:vAlign w:val="top"/>
          </w:tcPr>
          <w:p>
            <w:pPr>
              <w:spacing w:line="32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Merge w:val="continue"/>
            <w:vAlign w:val="center"/>
          </w:tcPr>
          <w:p>
            <w:pPr>
              <w:spacing w:line="320" w:lineRule="exact"/>
              <w:jc w:val="center"/>
              <w:rPr>
                <w:bCs/>
                <w:sz w:val="24"/>
              </w:rPr>
            </w:pPr>
          </w:p>
        </w:tc>
        <w:tc>
          <w:tcPr>
            <w:tcW w:w="1605" w:type="dxa"/>
            <w:tcBorders>
              <w:top w:val="single" w:color="auto" w:sz="4" w:space="0"/>
            </w:tcBorders>
            <w:vAlign w:val="center"/>
          </w:tcPr>
          <w:p>
            <w:pPr>
              <w:spacing w:line="320" w:lineRule="exact"/>
              <w:jc w:val="center"/>
              <w:rPr>
                <w:rFonts w:hint="default" w:ascii="宋体" w:hAnsi="宋体" w:eastAsia="宋体" w:cs="宋体"/>
                <w:sz w:val="24"/>
                <w:lang w:val="en-US" w:eastAsia="zh-CN"/>
              </w:rPr>
            </w:pPr>
            <w:r>
              <w:rPr>
                <w:rFonts w:hint="eastAsia" w:ascii="宋体" w:hAnsi="宋体" w:cs="宋体"/>
                <w:sz w:val="24"/>
                <w:lang w:val="en-US" w:eastAsia="zh-CN"/>
              </w:rPr>
              <w:t>SS</w:t>
            </w:r>
          </w:p>
        </w:tc>
        <w:tc>
          <w:tcPr>
            <w:tcW w:w="1552" w:type="dxa"/>
            <w:vAlign w:val="center"/>
          </w:tcPr>
          <w:p>
            <w:pPr>
              <w:spacing w:line="320" w:lineRule="exact"/>
              <w:jc w:val="center"/>
              <w:rPr>
                <w:rFonts w:hint="eastAsia" w:ascii="宋体" w:hAnsi="宋体" w:eastAsia="宋体" w:cs="宋体"/>
                <w:sz w:val="24"/>
              </w:rPr>
            </w:pPr>
            <w:r>
              <w:rPr>
                <w:rFonts w:hint="eastAsia" w:ascii="宋体" w:hAnsi="宋体" w:cs="宋体"/>
                <w:sz w:val="24"/>
                <w:lang w:eastAsia="zh-CN"/>
              </w:rPr>
              <w:t>雨水排放口</w:t>
            </w:r>
          </w:p>
        </w:tc>
        <w:tc>
          <w:tcPr>
            <w:tcW w:w="1298"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次</w:t>
            </w:r>
            <w:r>
              <w:rPr>
                <w:rFonts w:hint="eastAsia" w:ascii="宋体" w:hAnsi="宋体" w:eastAsia="宋体" w:cs="宋体"/>
                <w:sz w:val="24"/>
              </w:rPr>
              <w:t>/</w:t>
            </w:r>
            <w:r>
              <w:rPr>
                <w:rFonts w:hint="eastAsia" w:ascii="宋体" w:hAnsi="宋体" w:cs="宋体"/>
                <w:sz w:val="24"/>
                <w:lang w:eastAsia="zh-CN"/>
              </w:rPr>
              <w:t>日</w:t>
            </w:r>
          </w:p>
        </w:tc>
        <w:tc>
          <w:tcPr>
            <w:tcW w:w="2070" w:type="dxa"/>
            <w:vMerge w:val="continue"/>
            <w:vAlign w:val="center"/>
          </w:tcPr>
          <w:p>
            <w:pPr>
              <w:spacing w:line="320" w:lineRule="exact"/>
              <w:jc w:val="center"/>
              <w:rPr>
                <w:rFonts w:hint="eastAsia" w:ascii="宋体" w:hAnsi="宋体" w:eastAsia="宋体" w:cs="宋体"/>
                <w:sz w:val="24"/>
              </w:rPr>
            </w:pPr>
          </w:p>
        </w:tc>
        <w:tc>
          <w:tcPr>
            <w:tcW w:w="1365" w:type="dxa"/>
            <w:vAlign w:val="center"/>
          </w:tcPr>
          <w:p>
            <w:pPr>
              <w:spacing w:line="32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w:t>
            </w:r>
            <w:r>
              <w:rPr>
                <w:rFonts w:hint="eastAsia" w:ascii="宋体" w:hAnsi="宋体" w:cs="宋体"/>
                <w:color w:val="auto"/>
                <w:sz w:val="24"/>
                <w:lang w:val="en-US" w:eastAsia="zh-CN"/>
              </w:rPr>
              <w:t>0</w:t>
            </w:r>
            <w:r>
              <w:rPr>
                <w:rFonts w:hint="eastAsia" w:ascii="宋体" w:hAnsi="宋体" w:eastAsia="宋体" w:cs="宋体"/>
                <w:sz w:val="24"/>
                <w:lang w:val="en-US" w:eastAsia="zh-CN"/>
              </w:rPr>
              <w:t>mg/</w:t>
            </w:r>
            <w:r>
              <w:rPr>
                <w:rFonts w:hint="eastAsia" w:ascii="宋体" w:hAnsi="宋体" w:cs="宋体"/>
                <w:sz w:val="24"/>
                <w:lang w:val="en-US" w:eastAsia="zh-CN"/>
              </w:rPr>
              <w:t>L</w:t>
            </w:r>
          </w:p>
        </w:tc>
        <w:tc>
          <w:tcPr>
            <w:tcW w:w="2669" w:type="dxa"/>
            <w:vAlign w:val="center"/>
          </w:tcPr>
          <w:p>
            <w:pPr>
              <w:keepNext w:val="0"/>
              <w:keepLines w:val="0"/>
              <w:widowControl/>
              <w:suppressLineNumbers w:val="0"/>
              <w:jc w:val="left"/>
              <w:rPr>
                <w:rFonts w:hint="eastAsia" w:ascii="宋体" w:hAnsi="宋体" w:eastAsia="宋体" w:cs="宋体"/>
                <w:color w:val="auto"/>
                <w:sz w:val="24"/>
                <w:lang w:val="en-US" w:eastAsia="zh-CN"/>
              </w:rPr>
            </w:pPr>
            <w:r>
              <w:rPr>
                <w:rFonts w:hint="eastAsia" w:ascii="宋体" w:hAnsi="宋体" w:eastAsia="宋体" w:cs="宋体"/>
                <w:color w:val="000000"/>
                <w:kern w:val="0"/>
                <w:sz w:val="21"/>
                <w:szCs w:val="21"/>
                <w:lang w:val="en-US" w:eastAsia="zh-CN" w:bidi="ar"/>
              </w:rPr>
              <w:t>水质悬浮物的测定重量法 GB11901-1989</w:t>
            </w:r>
          </w:p>
        </w:tc>
        <w:tc>
          <w:tcPr>
            <w:tcW w:w="1321" w:type="dxa"/>
            <w:vAlign w:val="center"/>
          </w:tcPr>
          <w:p>
            <w:pPr>
              <w:spacing w:line="320" w:lineRule="exact"/>
              <w:jc w:val="center"/>
              <w:rPr>
                <w:rFonts w:hint="default" w:ascii="宋体" w:hAnsi="宋体" w:eastAsia="宋体" w:cs="宋体"/>
                <w:sz w:val="24"/>
                <w:lang w:val="en-US" w:eastAsia="zh-CN"/>
              </w:rPr>
            </w:pPr>
            <w:r>
              <w:rPr>
                <w:rFonts w:hint="eastAsia" w:ascii="宋体" w:hAnsi="宋体" w:cs="宋体"/>
                <w:sz w:val="24"/>
                <w:lang w:val="en-US" w:eastAsia="zh-CN"/>
              </w:rPr>
              <w:t>分析天平</w:t>
            </w:r>
          </w:p>
        </w:tc>
        <w:tc>
          <w:tcPr>
            <w:tcW w:w="1053" w:type="dxa"/>
            <w:vMerge w:val="continue"/>
            <w:vAlign w:val="top"/>
          </w:tcPr>
          <w:p>
            <w:pPr>
              <w:spacing w:line="32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387" w:type="dxa"/>
            <w:gridSpan w:val="2"/>
            <w:vAlign w:val="center"/>
          </w:tcPr>
          <w:p>
            <w:pPr>
              <w:spacing w:line="380" w:lineRule="exact"/>
              <w:jc w:val="center"/>
              <w:rPr>
                <w:rFonts w:hint="eastAsia" w:ascii="宋体" w:hAnsi="宋体" w:eastAsia="宋体" w:cs="宋体"/>
                <w:sz w:val="24"/>
              </w:rPr>
            </w:pPr>
            <w:r>
              <w:rPr>
                <w:rFonts w:hint="eastAsia" w:ascii="宋体" w:hAnsi="宋体" w:eastAsia="宋体" w:cs="宋体"/>
                <w:b/>
                <w:sz w:val="24"/>
              </w:rPr>
              <w:t>污染物</w:t>
            </w:r>
            <w:r>
              <w:rPr>
                <w:rFonts w:hint="eastAsia" w:ascii="宋体" w:hAnsi="宋体" w:eastAsia="宋体" w:cs="宋体"/>
                <w:b/>
                <w:sz w:val="24"/>
                <w:lang w:eastAsia="zh-CN"/>
              </w:rPr>
              <w:t>检测布点原则</w:t>
            </w:r>
          </w:p>
        </w:tc>
        <w:tc>
          <w:tcPr>
            <w:tcW w:w="11328" w:type="dxa"/>
            <w:gridSpan w:val="7"/>
            <w:vAlign w:val="center"/>
          </w:tcPr>
          <w:p>
            <w:pPr>
              <w:spacing w:beforeLines="20" w:afterLines="20"/>
              <w:jc w:val="both"/>
              <w:rPr>
                <w:rFonts w:hint="eastAsia" w:ascii="宋体" w:hAnsi="宋体" w:eastAsia="宋体" w:cs="宋体"/>
                <w:sz w:val="24"/>
                <w:lang w:val="en-US" w:eastAsia="zh-CN"/>
              </w:rPr>
            </w:pPr>
            <w:r>
              <w:rPr>
                <w:rFonts w:hint="eastAsia" w:ascii="宋体" w:hAnsi="宋体" w:cs="宋体"/>
                <w:sz w:val="24"/>
                <w:lang w:val="en-US" w:eastAsia="zh-CN"/>
              </w:rPr>
              <w:t>雨季有流动水排放时检测。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387" w:type="dxa"/>
            <w:gridSpan w:val="2"/>
            <w:vAlign w:val="center"/>
          </w:tcPr>
          <w:p>
            <w:pPr>
              <w:spacing w:line="380" w:lineRule="exact"/>
              <w:jc w:val="center"/>
              <w:rPr>
                <w:rFonts w:hint="eastAsia" w:ascii="宋体" w:hAnsi="宋体" w:eastAsia="宋体" w:cs="宋体"/>
                <w:sz w:val="24"/>
              </w:rPr>
            </w:pPr>
            <w:r>
              <w:rPr>
                <w:rFonts w:hint="eastAsia" w:ascii="宋体" w:hAnsi="宋体" w:eastAsia="宋体" w:cs="宋体"/>
                <w:b/>
                <w:sz w:val="24"/>
              </w:rPr>
              <w:t>监测质量控制措施</w:t>
            </w:r>
          </w:p>
        </w:tc>
        <w:tc>
          <w:tcPr>
            <w:tcW w:w="11328" w:type="dxa"/>
            <w:gridSpan w:val="7"/>
            <w:vAlign w:val="center"/>
          </w:tcPr>
          <w:p>
            <w:pPr>
              <w:numPr>
                <w:ilvl w:val="0"/>
                <w:numId w:val="0"/>
              </w:numPr>
              <w:spacing w:beforeLines="20" w:afterLines="20"/>
              <w:ind w:leftChars="0"/>
              <w:rPr>
                <w:rFonts w:hint="eastAsia" w:ascii="宋体" w:hAnsi="宋体" w:eastAsia="宋体" w:cs="宋体"/>
                <w:sz w:val="24"/>
              </w:rPr>
            </w:pPr>
            <w:r>
              <w:rPr>
                <w:rFonts w:hint="eastAsia" w:ascii="宋体" w:hAnsi="宋体" w:cs="宋体"/>
                <w:sz w:val="24"/>
                <w:lang w:val="en-US" w:eastAsia="zh-CN"/>
              </w:rPr>
              <w:t>1、</w:t>
            </w:r>
            <w:r>
              <w:rPr>
                <w:rFonts w:hint="eastAsia" w:ascii="宋体" w:hAnsi="宋体" w:eastAsia="宋体" w:cs="宋体"/>
                <w:sz w:val="24"/>
              </w:rPr>
              <w:t>监测仪器每年进行计量检定，有合格证。进行标准样分析。</w:t>
            </w:r>
          </w:p>
          <w:p>
            <w:pPr>
              <w:spacing w:beforeLines="20" w:afterLines="20"/>
              <w:jc w:val="both"/>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监测人人员持证上岗。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387" w:type="dxa"/>
            <w:gridSpan w:val="2"/>
            <w:vAlign w:val="center"/>
          </w:tcPr>
          <w:p>
            <w:pPr>
              <w:spacing w:line="380" w:lineRule="exact"/>
              <w:jc w:val="center"/>
              <w:rPr>
                <w:rFonts w:hint="eastAsia" w:ascii="宋体" w:hAnsi="宋体" w:eastAsia="宋体" w:cs="宋体"/>
                <w:b/>
                <w:sz w:val="24"/>
              </w:rPr>
            </w:pPr>
            <w:r>
              <w:rPr>
                <w:rFonts w:hint="eastAsia" w:ascii="宋体" w:hAnsi="宋体" w:eastAsia="宋体" w:cs="宋体"/>
                <w:b/>
                <w:sz w:val="24"/>
              </w:rPr>
              <w:t>监测结果</w:t>
            </w:r>
          </w:p>
          <w:p>
            <w:pPr>
              <w:spacing w:line="380" w:lineRule="exact"/>
              <w:jc w:val="center"/>
              <w:rPr>
                <w:rFonts w:hint="eastAsia" w:ascii="宋体" w:hAnsi="宋体" w:eastAsia="宋体" w:cs="宋体"/>
                <w:sz w:val="24"/>
              </w:rPr>
            </w:pPr>
            <w:r>
              <w:rPr>
                <w:rFonts w:hint="eastAsia" w:ascii="宋体" w:hAnsi="宋体" w:eastAsia="宋体" w:cs="宋体"/>
                <w:b/>
                <w:sz w:val="24"/>
              </w:rPr>
              <w:t>公开时限</w:t>
            </w:r>
          </w:p>
        </w:tc>
        <w:tc>
          <w:tcPr>
            <w:tcW w:w="11328" w:type="dxa"/>
            <w:gridSpan w:val="7"/>
            <w:vAlign w:val="center"/>
          </w:tcPr>
          <w:p>
            <w:pPr>
              <w:numPr>
                <w:ilvl w:val="0"/>
                <w:numId w:val="0"/>
              </w:numPr>
              <w:spacing w:beforeLines="20" w:afterLines="20"/>
              <w:ind w:leftChars="0"/>
              <w:jc w:val="both"/>
              <w:rPr>
                <w:rFonts w:hint="eastAsia" w:ascii="宋体" w:hAnsi="宋体" w:eastAsia="宋体" w:cs="宋体"/>
                <w:sz w:val="24"/>
              </w:rPr>
            </w:pPr>
            <w:r>
              <w:rPr>
                <w:rFonts w:hint="eastAsia" w:ascii="宋体" w:hAnsi="宋体" w:eastAsia="宋体" w:cs="宋体"/>
                <w:sz w:val="24"/>
              </w:rPr>
              <w:t>每季度</w:t>
            </w:r>
            <w:r>
              <w:rPr>
                <w:rFonts w:hint="eastAsia" w:ascii="宋体" w:hAnsi="宋体" w:eastAsia="宋体" w:cs="宋体"/>
                <w:sz w:val="24"/>
                <w:lang w:eastAsia="zh-CN"/>
              </w:rPr>
              <w:t>次月</w:t>
            </w:r>
            <w:r>
              <w:rPr>
                <w:rFonts w:hint="eastAsia" w:ascii="宋体" w:hAnsi="宋体" w:eastAsia="宋体" w:cs="宋体"/>
                <w:sz w:val="24"/>
                <w:lang w:val="en-US" w:eastAsia="zh-CN"/>
              </w:rPr>
              <w:t>10</w:t>
            </w:r>
            <w:r>
              <w:rPr>
                <w:rFonts w:hint="eastAsia" w:ascii="宋体" w:hAnsi="宋体" w:eastAsia="宋体" w:cs="宋体"/>
                <w:sz w:val="24"/>
              </w:rPr>
              <w:t>日-</w:t>
            </w:r>
            <w:r>
              <w:rPr>
                <w:rFonts w:hint="eastAsia" w:ascii="宋体" w:hAnsi="宋体" w:eastAsia="宋体" w:cs="宋体"/>
                <w:sz w:val="24"/>
                <w:lang w:val="en-US" w:eastAsia="zh-CN"/>
              </w:rPr>
              <w:t>15</w:t>
            </w:r>
            <w:r>
              <w:rPr>
                <w:rFonts w:hint="eastAsia" w:ascii="宋体" w:hAnsi="宋体" w:eastAsia="宋体" w:cs="宋体"/>
                <w:sz w:val="24"/>
              </w:rPr>
              <w:t>日公布。</w:t>
            </w:r>
          </w:p>
        </w:tc>
      </w:tr>
    </w:tbl>
    <w:p>
      <w:pPr>
        <w:spacing w:line="400" w:lineRule="exact"/>
        <w:jc w:val="left"/>
        <w:rPr>
          <w:rFonts w:hint="eastAsia"/>
          <w:sz w:val="24"/>
        </w:rPr>
      </w:pPr>
      <w:r>
        <w:rPr>
          <w:rFonts w:hint="eastAsia"/>
          <w:b/>
          <w:sz w:val="24"/>
        </w:rPr>
        <w:t>备注：</w:t>
      </w:r>
      <w:r>
        <w:rPr>
          <w:rFonts w:hint="eastAsia"/>
          <w:sz w:val="24"/>
        </w:rPr>
        <w:t>按照水污染物排放、大气污染物排放、厂界噪声和周边环境质量分表</w:t>
      </w:r>
    </w:p>
    <w:p>
      <w:pPr>
        <w:tabs>
          <w:tab w:val="left" w:pos="514"/>
        </w:tabs>
        <w:jc w:val="left"/>
        <w:rPr>
          <w:rFonts w:hint="eastAsia" w:cs="Times New Roman"/>
          <w:kern w:val="2"/>
          <w:sz w:val="24"/>
          <w:szCs w:val="24"/>
          <w:lang w:val="en-US" w:eastAsia="zh-CN" w:bidi="ar-SA"/>
        </w:rPr>
      </w:pPr>
    </w:p>
    <w:p>
      <w:pPr>
        <w:spacing w:line="380" w:lineRule="exact"/>
        <w:jc w:val="center"/>
        <w:rPr>
          <w:rFonts w:ascii="黑体" w:hAnsi="黑体" w:eastAsia="黑体"/>
          <w:b/>
          <w:sz w:val="32"/>
          <w:szCs w:val="32"/>
        </w:rPr>
      </w:pPr>
      <w:r>
        <w:rPr>
          <w:rFonts w:hint="eastAsia" w:ascii="黑体" w:hAnsi="黑体" w:eastAsia="黑体"/>
          <w:b/>
          <w:sz w:val="32"/>
          <w:szCs w:val="32"/>
        </w:rPr>
        <w:t>自行监测内容表（</w:t>
      </w:r>
      <w:r>
        <w:rPr>
          <w:rFonts w:hint="eastAsia" w:ascii="黑体" w:hAnsi="黑体" w:eastAsia="黑体"/>
          <w:b/>
          <w:sz w:val="32"/>
          <w:szCs w:val="32"/>
          <w:lang w:val="en-US" w:eastAsia="zh-CN"/>
        </w:rPr>
        <w:t>臭气</w:t>
      </w:r>
      <w:r>
        <w:rPr>
          <w:rFonts w:hint="eastAsia" w:ascii="黑体" w:hAnsi="黑体" w:eastAsia="黑体"/>
          <w:b/>
          <w:sz w:val="32"/>
          <w:szCs w:val="32"/>
          <w:lang w:eastAsia="zh-CN"/>
        </w:rPr>
        <w:t>排放口</w:t>
      </w:r>
      <w:r>
        <w:rPr>
          <w:rFonts w:hint="eastAsia" w:ascii="黑体" w:hAnsi="黑体" w:eastAsia="黑体"/>
          <w:b/>
          <w:sz w:val="32"/>
          <w:szCs w:val="32"/>
        </w:rPr>
        <w:t>）</w:t>
      </w:r>
    </w:p>
    <w:tbl>
      <w:tblPr>
        <w:tblStyle w:val="2"/>
        <w:tblW w:w="1371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605"/>
        <w:gridCol w:w="1552"/>
        <w:gridCol w:w="1298"/>
        <w:gridCol w:w="2000"/>
        <w:gridCol w:w="1435"/>
        <w:gridCol w:w="2669"/>
        <w:gridCol w:w="1321"/>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2387" w:type="dxa"/>
            <w:gridSpan w:val="2"/>
            <w:tcBorders>
              <w:top w:val="single" w:color="auto" w:sz="12" w:space="0"/>
              <w:bottom w:val="single" w:color="auto" w:sz="12" w:space="0"/>
              <w:tl2br w:val="single" w:color="auto" w:sz="4" w:space="0"/>
            </w:tcBorders>
            <w:vAlign w:val="center"/>
          </w:tcPr>
          <w:p>
            <w:pPr>
              <w:spacing w:line="320" w:lineRule="exact"/>
              <w:ind w:firstLine="843" w:firstLineChars="350"/>
              <w:jc w:val="center"/>
              <w:rPr>
                <w:rFonts w:ascii="黑体" w:hAnsi="黑体" w:eastAsia="黑体"/>
                <w:b/>
                <w:sz w:val="24"/>
              </w:rPr>
            </w:pPr>
            <w:r>
              <w:rPr>
                <w:rFonts w:hint="eastAsia" w:ascii="黑体" w:hAnsi="黑体" w:eastAsia="黑体"/>
                <w:b/>
                <w:sz w:val="24"/>
              </w:rPr>
              <w:t>监测项目</w:t>
            </w:r>
          </w:p>
          <w:p>
            <w:pPr>
              <w:spacing w:line="320" w:lineRule="exact"/>
              <w:rPr>
                <w:rFonts w:ascii="黑体" w:hAnsi="黑体" w:eastAsia="黑体"/>
                <w:b/>
                <w:sz w:val="24"/>
              </w:rPr>
            </w:pPr>
            <w:r>
              <w:rPr>
                <w:rFonts w:hint="eastAsia" w:ascii="黑体" w:hAnsi="黑体" w:eastAsia="黑体"/>
                <w:b/>
                <w:sz w:val="24"/>
              </w:rPr>
              <w:t>监测内容</w:t>
            </w:r>
          </w:p>
        </w:tc>
        <w:tc>
          <w:tcPr>
            <w:tcW w:w="1552"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监测点位</w:t>
            </w:r>
          </w:p>
        </w:tc>
        <w:tc>
          <w:tcPr>
            <w:tcW w:w="1298"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监测频次</w:t>
            </w:r>
          </w:p>
        </w:tc>
        <w:tc>
          <w:tcPr>
            <w:tcW w:w="2000"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执行排放标准</w:t>
            </w:r>
          </w:p>
        </w:tc>
        <w:tc>
          <w:tcPr>
            <w:tcW w:w="1435"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标准限值</w:t>
            </w:r>
          </w:p>
        </w:tc>
        <w:tc>
          <w:tcPr>
            <w:tcW w:w="2669"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监测方法</w:t>
            </w:r>
          </w:p>
        </w:tc>
        <w:tc>
          <w:tcPr>
            <w:tcW w:w="1321"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分析仪器</w:t>
            </w:r>
          </w:p>
        </w:tc>
        <w:tc>
          <w:tcPr>
            <w:tcW w:w="1053"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82" w:type="dxa"/>
            <w:vMerge w:val="restart"/>
            <w:tcBorders>
              <w:top w:val="single" w:color="auto" w:sz="12" w:space="0"/>
            </w:tcBorders>
            <w:vAlign w:val="center"/>
          </w:tcPr>
          <w:p>
            <w:pPr>
              <w:spacing w:line="320" w:lineRule="exact"/>
              <w:jc w:val="center"/>
              <w:rPr>
                <w:rFonts w:ascii="黑体" w:hAnsi="黑体" w:eastAsia="黑体"/>
                <w:b/>
                <w:bCs/>
                <w:sz w:val="24"/>
              </w:rPr>
            </w:pPr>
            <w:r>
              <w:rPr>
                <w:rFonts w:hint="eastAsia" w:ascii="黑体" w:hAnsi="黑体" w:eastAsia="黑体"/>
                <w:b/>
                <w:bCs/>
                <w:sz w:val="24"/>
              </w:rPr>
              <w:t>监</w:t>
            </w:r>
          </w:p>
          <w:p>
            <w:pPr>
              <w:spacing w:line="320" w:lineRule="exact"/>
              <w:jc w:val="center"/>
              <w:rPr>
                <w:rFonts w:ascii="黑体" w:hAnsi="黑体" w:eastAsia="黑体"/>
                <w:b/>
                <w:bCs/>
                <w:sz w:val="24"/>
              </w:rPr>
            </w:pPr>
            <w:r>
              <w:rPr>
                <w:rFonts w:hint="eastAsia" w:ascii="黑体" w:hAnsi="黑体" w:eastAsia="黑体"/>
                <w:b/>
                <w:bCs/>
                <w:sz w:val="24"/>
              </w:rPr>
              <w:t>测</w:t>
            </w:r>
          </w:p>
          <w:p>
            <w:pPr>
              <w:spacing w:line="320" w:lineRule="exact"/>
              <w:jc w:val="center"/>
              <w:rPr>
                <w:rFonts w:ascii="黑体" w:hAnsi="黑体" w:eastAsia="黑体"/>
                <w:b/>
                <w:bCs/>
                <w:sz w:val="24"/>
              </w:rPr>
            </w:pPr>
            <w:r>
              <w:rPr>
                <w:rFonts w:hint="eastAsia" w:ascii="黑体" w:hAnsi="黑体" w:eastAsia="黑体"/>
                <w:b/>
                <w:bCs/>
                <w:sz w:val="24"/>
              </w:rPr>
              <w:t>指</w:t>
            </w:r>
          </w:p>
          <w:p>
            <w:pPr>
              <w:spacing w:line="320" w:lineRule="exact"/>
              <w:jc w:val="center"/>
              <w:rPr>
                <w:rFonts w:ascii="黑体" w:hAnsi="黑体" w:eastAsia="黑体"/>
                <w:b/>
                <w:bCs/>
                <w:sz w:val="24"/>
              </w:rPr>
            </w:pPr>
            <w:r>
              <w:rPr>
                <w:rFonts w:hint="eastAsia" w:ascii="黑体" w:hAnsi="黑体" w:eastAsia="黑体"/>
                <w:b/>
                <w:bCs/>
                <w:sz w:val="24"/>
              </w:rPr>
              <w:t>标</w:t>
            </w:r>
          </w:p>
          <w:p>
            <w:pPr>
              <w:spacing w:line="320" w:lineRule="exact"/>
              <w:jc w:val="center"/>
              <w:rPr>
                <w:bCs/>
                <w:sz w:val="24"/>
              </w:rPr>
            </w:pPr>
          </w:p>
        </w:tc>
        <w:tc>
          <w:tcPr>
            <w:tcW w:w="1605" w:type="dxa"/>
            <w:tcBorders>
              <w:top w:val="single" w:color="auto" w:sz="4" w:space="0"/>
              <w:bottom w:val="single" w:color="auto" w:sz="4" w:space="0"/>
            </w:tcBorders>
            <w:vAlign w:val="center"/>
          </w:tcPr>
          <w:p>
            <w:pPr>
              <w:spacing w:line="320" w:lineRule="exact"/>
              <w:jc w:val="center"/>
              <w:rPr>
                <w:rFonts w:hint="default" w:ascii="宋体" w:hAnsi="宋体" w:eastAsia="宋体" w:cs="宋体"/>
                <w:sz w:val="24"/>
                <w:lang w:val="en-US" w:eastAsia="zh-CN"/>
              </w:rPr>
            </w:pPr>
            <w:r>
              <w:rPr>
                <w:rFonts w:hint="eastAsia" w:ascii="宋体" w:hAnsi="宋体" w:cs="宋体"/>
                <w:sz w:val="24"/>
                <w:lang w:val="en-US" w:eastAsia="zh-CN"/>
              </w:rPr>
              <w:t>甲烷</w:t>
            </w:r>
          </w:p>
        </w:tc>
        <w:tc>
          <w:tcPr>
            <w:tcW w:w="1552" w:type="dxa"/>
            <w:vAlign w:val="center"/>
          </w:tcPr>
          <w:p>
            <w:pPr>
              <w:spacing w:line="320" w:lineRule="exact"/>
              <w:jc w:val="center"/>
              <w:rPr>
                <w:rFonts w:hint="eastAsia" w:ascii="宋体" w:hAnsi="宋体" w:eastAsia="宋体" w:cs="宋体"/>
                <w:sz w:val="24"/>
                <w:lang w:eastAsia="zh-CN"/>
              </w:rPr>
            </w:pPr>
            <w:r>
              <w:rPr>
                <w:rFonts w:hint="eastAsia" w:ascii="宋体" w:hAnsi="宋体" w:cs="宋体"/>
                <w:sz w:val="24"/>
                <w:lang w:val="en-US" w:eastAsia="zh-CN"/>
              </w:rPr>
              <w:t>臭气</w:t>
            </w:r>
            <w:r>
              <w:rPr>
                <w:rFonts w:hint="eastAsia" w:ascii="宋体" w:hAnsi="宋体" w:cs="宋体"/>
                <w:sz w:val="24"/>
                <w:lang w:eastAsia="zh-CN"/>
              </w:rPr>
              <w:t>排放口</w:t>
            </w:r>
          </w:p>
        </w:tc>
        <w:tc>
          <w:tcPr>
            <w:tcW w:w="1298"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次</w:t>
            </w:r>
            <w:r>
              <w:rPr>
                <w:rFonts w:hint="eastAsia" w:ascii="宋体" w:hAnsi="宋体" w:eastAsia="宋体" w:cs="宋体"/>
                <w:sz w:val="24"/>
              </w:rPr>
              <w:t>/</w:t>
            </w:r>
            <w:r>
              <w:rPr>
                <w:rFonts w:hint="eastAsia" w:ascii="宋体" w:hAnsi="宋体" w:cs="宋体"/>
                <w:sz w:val="24"/>
                <w:lang w:val="en-US" w:eastAsia="zh-CN"/>
              </w:rPr>
              <w:t>年</w:t>
            </w:r>
          </w:p>
        </w:tc>
        <w:tc>
          <w:tcPr>
            <w:tcW w:w="2000" w:type="dxa"/>
            <w:vMerge w:val="restart"/>
            <w:vAlign w:val="center"/>
          </w:tcPr>
          <w:p>
            <w:pPr>
              <w:spacing w:line="320" w:lineRule="exact"/>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排污许可证</w:t>
            </w:r>
          </w:p>
        </w:tc>
        <w:tc>
          <w:tcPr>
            <w:tcW w:w="1435" w:type="dxa"/>
            <w:vAlign w:val="center"/>
          </w:tcPr>
          <w:p>
            <w:pPr>
              <w:spacing w:line="320" w:lineRule="exact"/>
              <w:jc w:val="center"/>
              <w:rPr>
                <w:rFonts w:hint="default" w:ascii="宋体" w:hAnsi="宋体" w:eastAsia="宋体" w:cs="宋体"/>
                <w:sz w:val="24"/>
                <w:lang w:val="en-US" w:eastAsia="zh-CN"/>
              </w:rPr>
            </w:pPr>
            <w:r>
              <w:rPr>
                <w:rFonts w:hint="eastAsia" w:ascii="宋体" w:hAnsi="宋体" w:cs="宋体"/>
                <w:sz w:val="24"/>
                <w:lang w:val="en-US" w:eastAsia="zh-CN"/>
              </w:rPr>
              <w:t>1%</w:t>
            </w:r>
          </w:p>
        </w:tc>
        <w:tc>
          <w:tcPr>
            <w:tcW w:w="2669" w:type="dxa"/>
            <w:vAlign w:val="center"/>
          </w:tcPr>
          <w:p>
            <w:pPr>
              <w:keepNext w:val="0"/>
              <w:keepLines w:val="0"/>
              <w:widowControl/>
              <w:suppressLineNumbers w:val="0"/>
              <w:jc w:val="left"/>
              <w:rPr>
                <w:rFonts w:hint="eastAsia" w:ascii="宋体" w:hAnsi="宋体" w:eastAsia="宋体" w:cs="宋体"/>
                <w:sz w:val="24"/>
                <w:lang w:val="en-US" w:eastAsia="zh-CN"/>
              </w:rPr>
            </w:pPr>
            <w:r>
              <w:rPr>
                <w:rFonts w:hint="eastAsia" w:ascii="宋体" w:hAnsi="宋体" w:cs="宋体"/>
                <w:sz w:val="24"/>
                <w:lang w:val="en-US" w:eastAsia="zh-CN"/>
              </w:rPr>
              <w:t>环境空气 总烃、甲烷和非甲烷总烃的测定，直接进样-气象色谱法（HJ 604-2017)</w:t>
            </w:r>
            <w:r>
              <w:rPr>
                <w:rFonts w:hint="eastAsia" w:ascii="宋体" w:hAnsi="宋体" w:eastAsia="宋体" w:cs="宋体"/>
                <w:color w:val="000000"/>
                <w:kern w:val="0"/>
                <w:sz w:val="21"/>
                <w:szCs w:val="21"/>
                <w:lang w:val="en-US" w:eastAsia="zh-CN" w:bidi="ar"/>
              </w:rPr>
              <w:t xml:space="preserve"> </w:t>
            </w:r>
          </w:p>
        </w:tc>
        <w:tc>
          <w:tcPr>
            <w:tcW w:w="1321" w:type="dxa"/>
            <w:vAlign w:val="center"/>
          </w:tcPr>
          <w:p>
            <w:pPr>
              <w:spacing w:line="320" w:lineRule="exact"/>
              <w:jc w:val="center"/>
              <w:rPr>
                <w:rFonts w:hint="eastAsia" w:ascii="宋体" w:hAnsi="宋体" w:eastAsia="宋体" w:cs="宋体"/>
                <w:sz w:val="24"/>
                <w:lang w:val="en-US" w:eastAsia="zh-CN"/>
              </w:rPr>
            </w:pPr>
          </w:p>
        </w:tc>
        <w:tc>
          <w:tcPr>
            <w:tcW w:w="1053" w:type="dxa"/>
            <w:vMerge w:val="restart"/>
            <w:vAlign w:val="center"/>
          </w:tcPr>
          <w:p>
            <w:pPr>
              <w:spacing w:line="320" w:lineRule="exact"/>
              <w:jc w:val="center"/>
              <w:rPr>
                <w:rFonts w:hint="eastAsia" w:ascii="宋体" w:hAnsi="宋体" w:eastAsia="宋体" w:cs="宋体"/>
                <w:sz w:val="24"/>
                <w:lang w:eastAsia="zh-CN"/>
              </w:rPr>
            </w:pPr>
            <w:r>
              <w:rPr>
                <w:rFonts w:hint="eastAsia" w:ascii="宋体" w:hAnsi="宋体" w:cs="宋体"/>
                <w:sz w:val="24"/>
                <w:lang w:eastAsia="zh-CN"/>
              </w:rPr>
              <w:t>手工检测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82" w:type="dxa"/>
            <w:vMerge w:val="continue"/>
            <w:vAlign w:val="center"/>
          </w:tcPr>
          <w:p>
            <w:pPr>
              <w:spacing w:line="320" w:lineRule="exact"/>
              <w:jc w:val="center"/>
              <w:rPr>
                <w:bCs/>
                <w:sz w:val="24"/>
              </w:rPr>
            </w:pPr>
          </w:p>
        </w:tc>
        <w:tc>
          <w:tcPr>
            <w:tcW w:w="1605" w:type="dxa"/>
            <w:tcBorders>
              <w:top w:val="single" w:color="auto" w:sz="4" w:space="0"/>
              <w:bottom w:val="single" w:color="auto" w:sz="4" w:space="0"/>
            </w:tcBorders>
            <w:vAlign w:val="center"/>
          </w:tcPr>
          <w:p>
            <w:pPr>
              <w:spacing w:line="320" w:lineRule="exact"/>
              <w:jc w:val="center"/>
              <w:rPr>
                <w:rFonts w:hint="default" w:ascii="宋体" w:hAnsi="宋体" w:eastAsia="宋体" w:cs="宋体"/>
                <w:sz w:val="24"/>
                <w:lang w:val="en-US" w:eastAsia="zh-CN"/>
              </w:rPr>
            </w:pPr>
            <w:r>
              <w:rPr>
                <w:rFonts w:hint="eastAsia" w:ascii="宋体" w:hAnsi="宋体" w:cs="宋体"/>
                <w:sz w:val="24"/>
                <w:lang w:val="en-US" w:eastAsia="zh-CN"/>
              </w:rPr>
              <w:t>臭气浓度</w:t>
            </w:r>
          </w:p>
        </w:tc>
        <w:tc>
          <w:tcPr>
            <w:tcW w:w="1552" w:type="dxa"/>
            <w:vAlign w:val="center"/>
          </w:tcPr>
          <w:p>
            <w:pPr>
              <w:spacing w:line="320" w:lineRule="exact"/>
              <w:jc w:val="center"/>
              <w:rPr>
                <w:rFonts w:hint="eastAsia" w:ascii="宋体" w:hAnsi="宋体" w:eastAsia="宋体" w:cs="宋体"/>
                <w:sz w:val="24"/>
              </w:rPr>
            </w:pPr>
            <w:r>
              <w:rPr>
                <w:rFonts w:hint="eastAsia" w:ascii="宋体" w:hAnsi="宋体" w:cs="宋体"/>
                <w:sz w:val="24"/>
                <w:lang w:val="en-US" w:eastAsia="zh-CN"/>
              </w:rPr>
              <w:t>臭气</w:t>
            </w:r>
            <w:r>
              <w:rPr>
                <w:rFonts w:hint="eastAsia" w:ascii="宋体" w:hAnsi="宋体" w:cs="宋体"/>
                <w:sz w:val="24"/>
                <w:lang w:eastAsia="zh-CN"/>
              </w:rPr>
              <w:t>排放口</w:t>
            </w:r>
          </w:p>
        </w:tc>
        <w:tc>
          <w:tcPr>
            <w:tcW w:w="1298" w:type="dxa"/>
            <w:vAlign w:val="center"/>
          </w:tcPr>
          <w:p>
            <w:pPr>
              <w:spacing w:line="320" w:lineRule="exact"/>
              <w:jc w:val="center"/>
              <w:rPr>
                <w:rFonts w:hint="eastAsia" w:ascii="宋体" w:hAnsi="宋体" w:eastAsia="宋体" w:cs="宋体"/>
                <w:sz w:val="24"/>
                <w:lang w:val="en-US" w:eastAsia="zh-CN"/>
              </w:rPr>
            </w:pPr>
            <w:r>
              <w:rPr>
                <w:rFonts w:hint="eastAsia" w:ascii="宋体" w:hAnsi="宋体" w:eastAsia="宋体" w:cs="宋体"/>
                <w:sz w:val="24"/>
              </w:rPr>
              <w:t>1</w:t>
            </w:r>
            <w:r>
              <w:rPr>
                <w:rFonts w:hint="eastAsia" w:ascii="宋体" w:hAnsi="宋体" w:eastAsia="宋体" w:cs="宋体"/>
                <w:sz w:val="24"/>
                <w:lang w:eastAsia="zh-CN"/>
              </w:rPr>
              <w:t>次</w:t>
            </w:r>
            <w:r>
              <w:rPr>
                <w:rFonts w:hint="eastAsia" w:ascii="宋体" w:hAnsi="宋体" w:eastAsia="宋体" w:cs="宋体"/>
                <w:sz w:val="24"/>
              </w:rPr>
              <w:t>/</w:t>
            </w:r>
            <w:r>
              <w:rPr>
                <w:rFonts w:hint="eastAsia" w:ascii="宋体" w:hAnsi="宋体" w:cs="宋体"/>
                <w:sz w:val="24"/>
                <w:lang w:val="en-US" w:eastAsia="zh-CN"/>
              </w:rPr>
              <w:t>半年</w:t>
            </w:r>
          </w:p>
        </w:tc>
        <w:tc>
          <w:tcPr>
            <w:tcW w:w="2000" w:type="dxa"/>
            <w:vMerge w:val="continue"/>
            <w:vAlign w:val="center"/>
          </w:tcPr>
          <w:p>
            <w:pPr>
              <w:spacing w:line="320" w:lineRule="exact"/>
              <w:jc w:val="center"/>
              <w:rPr>
                <w:rFonts w:hint="eastAsia" w:ascii="宋体" w:hAnsi="宋体" w:eastAsia="宋体" w:cs="宋体"/>
                <w:color w:val="auto"/>
                <w:sz w:val="24"/>
              </w:rPr>
            </w:pPr>
          </w:p>
        </w:tc>
        <w:tc>
          <w:tcPr>
            <w:tcW w:w="1435" w:type="dxa"/>
            <w:vAlign w:val="center"/>
          </w:tcPr>
          <w:p>
            <w:pPr>
              <w:spacing w:line="320" w:lineRule="exact"/>
              <w:jc w:val="center"/>
              <w:rPr>
                <w:rFonts w:hint="default" w:ascii="宋体" w:hAnsi="宋体" w:eastAsia="宋体" w:cs="宋体"/>
                <w:sz w:val="24"/>
                <w:lang w:val="en-US" w:eastAsia="zh-CN"/>
              </w:rPr>
            </w:pPr>
            <w:r>
              <w:rPr>
                <w:rFonts w:hint="eastAsia" w:ascii="宋体" w:hAnsi="宋体" w:cs="宋体"/>
                <w:sz w:val="24"/>
                <w:lang w:val="en-US" w:eastAsia="zh-CN"/>
              </w:rPr>
              <w:t>20</w:t>
            </w:r>
          </w:p>
        </w:tc>
        <w:tc>
          <w:tcPr>
            <w:tcW w:w="2669" w:type="dxa"/>
            <w:vAlign w:val="center"/>
          </w:tcPr>
          <w:p>
            <w:pPr>
              <w:keepNext w:val="0"/>
              <w:keepLines w:val="0"/>
              <w:widowControl/>
              <w:suppressLineNumbers w:val="0"/>
              <w:jc w:val="left"/>
              <w:rPr>
                <w:rFonts w:hint="default" w:ascii="宋体" w:hAnsi="宋体" w:eastAsia="宋体" w:cs="宋体"/>
                <w:sz w:val="24"/>
                <w:lang w:val="en-US" w:eastAsia="zh-CN"/>
              </w:rPr>
            </w:pPr>
            <w:r>
              <w:rPr>
                <w:rFonts w:hint="eastAsia" w:ascii="宋体" w:hAnsi="宋体" w:cs="宋体"/>
                <w:sz w:val="24"/>
                <w:lang w:val="en-US" w:eastAsia="zh-CN"/>
              </w:rPr>
              <w:t>空气质量 恶臭的测定 三点比较式臭袋法 GB T14675-1993</w:t>
            </w:r>
          </w:p>
        </w:tc>
        <w:tc>
          <w:tcPr>
            <w:tcW w:w="1321" w:type="dxa"/>
            <w:vAlign w:val="center"/>
          </w:tcPr>
          <w:p>
            <w:pPr>
              <w:spacing w:line="320" w:lineRule="exact"/>
              <w:jc w:val="center"/>
              <w:rPr>
                <w:rFonts w:hint="eastAsia" w:ascii="宋体" w:hAnsi="宋体" w:eastAsia="宋体" w:cs="宋体"/>
                <w:sz w:val="24"/>
                <w:lang w:val="en-US" w:eastAsia="zh-CN"/>
              </w:rPr>
            </w:pPr>
          </w:p>
        </w:tc>
        <w:tc>
          <w:tcPr>
            <w:tcW w:w="1053" w:type="dxa"/>
            <w:vMerge w:val="continue"/>
            <w:vAlign w:val="top"/>
          </w:tcPr>
          <w:p>
            <w:pPr>
              <w:spacing w:line="32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82" w:type="dxa"/>
            <w:vMerge w:val="continue"/>
            <w:vAlign w:val="center"/>
          </w:tcPr>
          <w:p>
            <w:pPr>
              <w:spacing w:line="320" w:lineRule="exact"/>
              <w:jc w:val="center"/>
              <w:rPr>
                <w:bCs/>
                <w:sz w:val="24"/>
              </w:rPr>
            </w:pPr>
          </w:p>
        </w:tc>
        <w:tc>
          <w:tcPr>
            <w:tcW w:w="1605" w:type="dxa"/>
            <w:tcBorders>
              <w:top w:val="single" w:color="auto" w:sz="4" w:space="0"/>
              <w:bottom w:val="single" w:color="auto" w:sz="4" w:space="0"/>
            </w:tcBorders>
            <w:vAlign w:val="center"/>
          </w:tcPr>
          <w:p>
            <w:pPr>
              <w:spacing w:line="320" w:lineRule="exact"/>
              <w:jc w:val="center"/>
              <w:rPr>
                <w:rFonts w:hint="default" w:ascii="宋体" w:hAnsi="宋体" w:eastAsia="宋体" w:cs="宋体"/>
                <w:sz w:val="24"/>
                <w:lang w:val="en-US" w:eastAsia="zh-CN"/>
              </w:rPr>
            </w:pPr>
            <w:r>
              <w:rPr>
                <w:rFonts w:hint="eastAsia" w:ascii="宋体" w:hAnsi="宋体" w:cs="宋体"/>
                <w:sz w:val="24"/>
                <w:lang w:val="en-US" w:eastAsia="zh-CN"/>
              </w:rPr>
              <w:t>氨（氨气）</w:t>
            </w:r>
          </w:p>
        </w:tc>
        <w:tc>
          <w:tcPr>
            <w:tcW w:w="1552" w:type="dxa"/>
            <w:vAlign w:val="center"/>
          </w:tcPr>
          <w:p>
            <w:pPr>
              <w:spacing w:line="320" w:lineRule="exact"/>
              <w:jc w:val="center"/>
              <w:rPr>
                <w:rFonts w:hint="eastAsia" w:ascii="宋体" w:hAnsi="宋体" w:eastAsia="宋体" w:cs="宋体"/>
                <w:sz w:val="24"/>
                <w:lang w:val="en-US" w:eastAsia="zh-CN"/>
              </w:rPr>
            </w:pPr>
            <w:r>
              <w:rPr>
                <w:rFonts w:hint="eastAsia" w:ascii="宋体" w:hAnsi="宋体" w:cs="宋体"/>
                <w:sz w:val="24"/>
                <w:lang w:val="en-US" w:eastAsia="zh-CN"/>
              </w:rPr>
              <w:t>臭气</w:t>
            </w:r>
            <w:r>
              <w:rPr>
                <w:rFonts w:hint="eastAsia" w:ascii="宋体" w:hAnsi="宋体" w:cs="宋体"/>
                <w:sz w:val="24"/>
                <w:lang w:eastAsia="zh-CN"/>
              </w:rPr>
              <w:t>排放口</w:t>
            </w:r>
          </w:p>
        </w:tc>
        <w:tc>
          <w:tcPr>
            <w:tcW w:w="1298"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次</w:t>
            </w:r>
            <w:r>
              <w:rPr>
                <w:rFonts w:hint="eastAsia" w:ascii="宋体" w:hAnsi="宋体" w:eastAsia="宋体" w:cs="宋体"/>
                <w:sz w:val="24"/>
              </w:rPr>
              <w:t>/</w:t>
            </w:r>
            <w:r>
              <w:rPr>
                <w:rFonts w:hint="eastAsia" w:ascii="宋体" w:hAnsi="宋体" w:cs="宋体"/>
                <w:sz w:val="24"/>
                <w:lang w:val="en-US" w:eastAsia="zh-CN"/>
              </w:rPr>
              <w:t>半年</w:t>
            </w:r>
          </w:p>
        </w:tc>
        <w:tc>
          <w:tcPr>
            <w:tcW w:w="2000" w:type="dxa"/>
            <w:vMerge w:val="continue"/>
            <w:vAlign w:val="center"/>
          </w:tcPr>
          <w:p>
            <w:pPr>
              <w:spacing w:line="320" w:lineRule="exact"/>
              <w:jc w:val="center"/>
              <w:rPr>
                <w:rFonts w:hint="eastAsia" w:ascii="宋体" w:hAnsi="宋体" w:eastAsia="宋体" w:cs="宋体"/>
                <w:sz w:val="24"/>
              </w:rPr>
            </w:pPr>
          </w:p>
        </w:tc>
        <w:tc>
          <w:tcPr>
            <w:tcW w:w="1435" w:type="dxa"/>
            <w:vAlign w:val="center"/>
          </w:tcPr>
          <w:p>
            <w:pPr>
              <w:spacing w:line="320" w:lineRule="exact"/>
              <w:jc w:val="center"/>
              <w:rPr>
                <w:rFonts w:hint="default" w:ascii="宋体" w:hAnsi="宋体" w:eastAsia="宋体" w:cs="宋体"/>
                <w:sz w:val="24"/>
                <w:lang w:val="en-US" w:eastAsia="zh-CN"/>
              </w:rPr>
            </w:pPr>
            <w:r>
              <w:rPr>
                <w:rFonts w:hint="eastAsia" w:ascii="宋体" w:hAnsi="宋体" w:cs="宋体"/>
                <w:sz w:val="24"/>
                <w:lang w:val="en-US" w:eastAsia="zh-CN"/>
              </w:rPr>
              <w:t>1.5</w:t>
            </w:r>
            <w:r>
              <w:rPr>
                <w:rFonts w:hint="eastAsia" w:ascii="宋体" w:hAnsi="宋体" w:eastAsia="宋体" w:cs="宋体"/>
                <w:sz w:val="24"/>
                <w:lang w:val="en-US" w:eastAsia="zh-CN"/>
              </w:rPr>
              <w:t>mg/</w:t>
            </w:r>
            <w:r>
              <w:rPr>
                <w:rFonts w:hint="eastAsia" w:ascii="宋体" w:hAnsi="宋体" w:cs="宋体"/>
                <w:sz w:val="24"/>
                <w:lang w:val="en-US" w:eastAsia="zh-CN"/>
              </w:rPr>
              <w:t>N</w:t>
            </w:r>
            <w:r>
              <w:rPr>
                <w:rFonts w:hint="eastAsia" w:ascii="宋体" w:hAnsi="宋体" w:eastAsia="宋体" w:cs="宋体"/>
                <w:sz w:val="24"/>
                <w:lang w:val="en-US" w:eastAsia="zh-CN"/>
              </w:rPr>
              <w:t>m</w:t>
            </w:r>
            <w:r>
              <w:rPr>
                <w:rFonts w:hint="eastAsia" w:ascii="宋体" w:hAnsi="宋体" w:eastAsia="宋体" w:cs="宋体"/>
                <w:sz w:val="24"/>
                <w:vertAlign w:val="superscript"/>
                <w:lang w:val="en-US" w:eastAsia="zh-CN"/>
              </w:rPr>
              <w:t>3</w:t>
            </w:r>
          </w:p>
        </w:tc>
        <w:tc>
          <w:tcPr>
            <w:tcW w:w="2669" w:type="dxa"/>
            <w:vAlign w:val="center"/>
          </w:tcPr>
          <w:p>
            <w:pPr>
              <w:spacing w:line="380" w:lineRule="exact"/>
              <w:rPr>
                <w:rFonts w:hint="default" w:ascii="宋体" w:hAnsi="宋体" w:eastAsia="宋体" w:cs="宋体"/>
                <w:sz w:val="24"/>
                <w:lang w:val="en-US" w:eastAsia="zh-CN"/>
              </w:rPr>
            </w:pPr>
            <w:r>
              <w:rPr>
                <w:rFonts w:hint="eastAsia" w:ascii="宋体" w:hAnsi="宋体" w:cs="宋体"/>
                <w:sz w:val="24"/>
                <w:lang w:val="en-US" w:eastAsia="zh-CN"/>
              </w:rPr>
              <w:t>空气和废气 氨的测定 纳氏试剂分光光度法 HJ533-2009</w:t>
            </w:r>
          </w:p>
        </w:tc>
        <w:tc>
          <w:tcPr>
            <w:tcW w:w="1321" w:type="dxa"/>
            <w:vAlign w:val="center"/>
          </w:tcPr>
          <w:p>
            <w:pPr>
              <w:spacing w:line="320" w:lineRule="exact"/>
              <w:jc w:val="center"/>
              <w:rPr>
                <w:rFonts w:hint="default" w:ascii="宋体" w:hAnsi="宋体" w:eastAsia="宋体" w:cs="宋体"/>
                <w:sz w:val="24"/>
                <w:lang w:val="en-US" w:eastAsia="zh-CN"/>
              </w:rPr>
            </w:pPr>
          </w:p>
        </w:tc>
        <w:tc>
          <w:tcPr>
            <w:tcW w:w="1053" w:type="dxa"/>
            <w:vMerge w:val="continue"/>
            <w:vAlign w:val="top"/>
          </w:tcPr>
          <w:p>
            <w:pPr>
              <w:spacing w:line="32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Merge w:val="continue"/>
            <w:vAlign w:val="center"/>
          </w:tcPr>
          <w:p>
            <w:pPr>
              <w:spacing w:line="320" w:lineRule="exact"/>
              <w:jc w:val="center"/>
              <w:rPr>
                <w:bCs/>
                <w:sz w:val="24"/>
              </w:rPr>
            </w:pPr>
          </w:p>
        </w:tc>
        <w:tc>
          <w:tcPr>
            <w:tcW w:w="1605" w:type="dxa"/>
            <w:tcBorders>
              <w:top w:val="single" w:color="auto" w:sz="4" w:space="0"/>
            </w:tcBorders>
            <w:vAlign w:val="center"/>
          </w:tcPr>
          <w:p>
            <w:pPr>
              <w:spacing w:line="320" w:lineRule="exact"/>
              <w:jc w:val="center"/>
              <w:rPr>
                <w:rFonts w:hint="default" w:ascii="宋体" w:hAnsi="宋体" w:eastAsia="宋体" w:cs="宋体"/>
                <w:sz w:val="24"/>
                <w:lang w:val="en-US" w:eastAsia="zh-CN"/>
              </w:rPr>
            </w:pPr>
            <w:r>
              <w:rPr>
                <w:rFonts w:hint="eastAsia" w:ascii="宋体" w:hAnsi="宋体" w:cs="宋体"/>
                <w:sz w:val="24"/>
                <w:lang w:val="en-US" w:eastAsia="zh-CN"/>
              </w:rPr>
              <w:t>硫化氢</w:t>
            </w:r>
          </w:p>
        </w:tc>
        <w:tc>
          <w:tcPr>
            <w:tcW w:w="1552" w:type="dxa"/>
            <w:vAlign w:val="center"/>
          </w:tcPr>
          <w:p>
            <w:pPr>
              <w:spacing w:line="320" w:lineRule="exact"/>
              <w:jc w:val="center"/>
              <w:rPr>
                <w:rFonts w:hint="eastAsia" w:ascii="宋体" w:hAnsi="宋体" w:eastAsia="宋体" w:cs="宋体"/>
                <w:sz w:val="24"/>
              </w:rPr>
            </w:pPr>
            <w:r>
              <w:rPr>
                <w:rFonts w:hint="eastAsia" w:ascii="宋体" w:hAnsi="宋体" w:cs="宋体"/>
                <w:sz w:val="24"/>
                <w:lang w:val="en-US" w:eastAsia="zh-CN"/>
              </w:rPr>
              <w:t>臭气</w:t>
            </w:r>
            <w:r>
              <w:rPr>
                <w:rFonts w:hint="eastAsia" w:ascii="宋体" w:hAnsi="宋体" w:cs="宋体"/>
                <w:sz w:val="24"/>
                <w:lang w:eastAsia="zh-CN"/>
              </w:rPr>
              <w:t>排放口</w:t>
            </w:r>
          </w:p>
        </w:tc>
        <w:tc>
          <w:tcPr>
            <w:tcW w:w="1298"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次</w:t>
            </w:r>
            <w:r>
              <w:rPr>
                <w:rFonts w:hint="eastAsia" w:ascii="宋体" w:hAnsi="宋体" w:eastAsia="宋体" w:cs="宋体"/>
                <w:sz w:val="24"/>
              </w:rPr>
              <w:t>/</w:t>
            </w:r>
            <w:r>
              <w:rPr>
                <w:rFonts w:hint="eastAsia" w:ascii="宋体" w:hAnsi="宋体" w:cs="宋体"/>
                <w:sz w:val="24"/>
                <w:lang w:val="en-US" w:eastAsia="zh-CN"/>
              </w:rPr>
              <w:t>半年</w:t>
            </w:r>
          </w:p>
        </w:tc>
        <w:tc>
          <w:tcPr>
            <w:tcW w:w="2000" w:type="dxa"/>
            <w:vMerge w:val="continue"/>
            <w:vAlign w:val="center"/>
          </w:tcPr>
          <w:p>
            <w:pPr>
              <w:spacing w:line="320" w:lineRule="exact"/>
              <w:jc w:val="center"/>
              <w:rPr>
                <w:rFonts w:hint="eastAsia" w:ascii="宋体" w:hAnsi="宋体" w:eastAsia="宋体" w:cs="宋体"/>
                <w:sz w:val="24"/>
              </w:rPr>
            </w:pPr>
          </w:p>
        </w:tc>
        <w:tc>
          <w:tcPr>
            <w:tcW w:w="1435" w:type="dxa"/>
            <w:vAlign w:val="center"/>
          </w:tcPr>
          <w:p>
            <w:pPr>
              <w:spacing w:line="320" w:lineRule="exact"/>
              <w:jc w:val="center"/>
              <w:rPr>
                <w:rFonts w:hint="default" w:ascii="宋体" w:hAnsi="宋体" w:eastAsia="宋体" w:cs="宋体"/>
                <w:color w:val="auto"/>
                <w:sz w:val="24"/>
                <w:lang w:val="en-US" w:eastAsia="zh-CN"/>
              </w:rPr>
            </w:pPr>
            <w:r>
              <w:rPr>
                <w:rFonts w:hint="eastAsia" w:ascii="宋体" w:hAnsi="宋体" w:cs="宋体"/>
                <w:color w:val="auto"/>
                <w:sz w:val="24"/>
                <w:lang w:val="en-US" w:eastAsia="zh-CN"/>
              </w:rPr>
              <w:t>0.06</w:t>
            </w:r>
            <w:r>
              <w:rPr>
                <w:rFonts w:hint="eastAsia" w:ascii="宋体" w:hAnsi="宋体" w:eastAsia="宋体" w:cs="宋体"/>
                <w:sz w:val="24"/>
                <w:lang w:val="en-US" w:eastAsia="zh-CN"/>
              </w:rPr>
              <w:t>mg/</w:t>
            </w:r>
            <w:r>
              <w:rPr>
                <w:rFonts w:hint="eastAsia" w:ascii="宋体" w:hAnsi="宋体" w:cs="宋体"/>
                <w:sz w:val="24"/>
                <w:lang w:val="en-US" w:eastAsia="zh-CN"/>
              </w:rPr>
              <w:t>N</w:t>
            </w:r>
            <w:r>
              <w:rPr>
                <w:rFonts w:hint="eastAsia" w:ascii="宋体" w:hAnsi="宋体" w:eastAsia="宋体" w:cs="宋体"/>
                <w:sz w:val="24"/>
                <w:lang w:val="en-US" w:eastAsia="zh-CN"/>
              </w:rPr>
              <w:t>m</w:t>
            </w:r>
            <w:r>
              <w:rPr>
                <w:rFonts w:hint="eastAsia" w:ascii="宋体" w:hAnsi="宋体" w:eastAsia="宋体" w:cs="宋体"/>
                <w:sz w:val="24"/>
                <w:vertAlign w:val="superscript"/>
                <w:lang w:val="en-US" w:eastAsia="zh-CN"/>
              </w:rPr>
              <w:t>3</w:t>
            </w:r>
          </w:p>
        </w:tc>
        <w:tc>
          <w:tcPr>
            <w:tcW w:w="2669" w:type="dxa"/>
            <w:vAlign w:val="center"/>
          </w:tcPr>
          <w:p>
            <w:pPr>
              <w:keepNext w:val="0"/>
              <w:keepLines w:val="0"/>
              <w:widowControl/>
              <w:suppressLineNumbers w:val="0"/>
              <w:jc w:val="left"/>
              <w:rPr>
                <w:rFonts w:hint="default" w:ascii="宋体" w:hAnsi="宋体" w:eastAsia="宋体" w:cs="宋体"/>
                <w:color w:val="auto"/>
                <w:sz w:val="24"/>
                <w:lang w:val="en-US" w:eastAsia="zh-CN"/>
              </w:rPr>
            </w:pPr>
            <w:r>
              <w:rPr>
                <w:rFonts w:hint="eastAsia" w:ascii="宋体" w:hAnsi="宋体" w:cs="宋体"/>
                <w:color w:val="auto"/>
                <w:sz w:val="24"/>
                <w:lang w:val="en-US" w:eastAsia="zh-CN"/>
              </w:rPr>
              <w:t>空气质量 硫化氢 甲硫醇 甲硫醚 二甲二硫的测定气象色谱法 GB/14678-1993</w:t>
            </w:r>
          </w:p>
        </w:tc>
        <w:tc>
          <w:tcPr>
            <w:tcW w:w="1321" w:type="dxa"/>
            <w:vAlign w:val="center"/>
          </w:tcPr>
          <w:p>
            <w:pPr>
              <w:spacing w:line="320" w:lineRule="exact"/>
              <w:jc w:val="center"/>
              <w:rPr>
                <w:rFonts w:hint="default" w:ascii="宋体" w:hAnsi="宋体" w:eastAsia="宋体" w:cs="宋体"/>
                <w:sz w:val="24"/>
                <w:lang w:val="en-US" w:eastAsia="zh-CN"/>
              </w:rPr>
            </w:pPr>
          </w:p>
        </w:tc>
        <w:tc>
          <w:tcPr>
            <w:tcW w:w="1053" w:type="dxa"/>
            <w:vMerge w:val="continue"/>
            <w:vAlign w:val="top"/>
          </w:tcPr>
          <w:p>
            <w:pPr>
              <w:spacing w:line="32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387" w:type="dxa"/>
            <w:gridSpan w:val="2"/>
            <w:vAlign w:val="center"/>
          </w:tcPr>
          <w:p>
            <w:pPr>
              <w:spacing w:line="380" w:lineRule="exact"/>
              <w:jc w:val="center"/>
              <w:rPr>
                <w:rFonts w:hint="eastAsia" w:ascii="宋体" w:hAnsi="宋体" w:eastAsia="宋体" w:cs="宋体"/>
                <w:sz w:val="24"/>
              </w:rPr>
            </w:pPr>
            <w:r>
              <w:rPr>
                <w:rFonts w:hint="eastAsia" w:ascii="宋体" w:hAnsi="宋体" w:eastAsia="宋体" w:cs="宋体"/>
                <w:b/>
                <w:sz w:val="24"/>
              </w:rPr>
              <w:t>污染物</w:t>
            </w:r>
            <w:r>
              <w:rPr>
                <w:rFonts w:hint="eastAsia" w:ascii="宋体" w:hAnsi="宋体" w:eastAsia="宋体" w:cs="宋体"/>
                <w:b/>
                <w:sz w:val="24"/>
                <w:lang w:eastAsia="zh-CN"/>
              </w:rPr>
              <w:t>检测布点原则</w:t>
            </w:r>
          </w:p>
        </w:tc>
        <w:tc>
          <w:tcPr>
            <w:tcW w:w="11328" w:type="dxa"/>
            <w:gridSpan w:val="7"/>
            <w:vAlign w:val="center"/>
          </w:tcPr>
          <w:p>
            <w:pPr>
              <w:spacing w:beforeLines="20" w:afterLines="20"/>
              <w:jc w:val="both"/>
              <w:rPr>
                <w:rFonts w:hint="eastAsia" w:ascii="宋体" w:hAnsi="宋体" w:eastAsia="宋体" w:cs="宋体"/>
                <w:sz w:val="24"/>
                <w:lang w:val="en-US" w:eastAsia="zh-CN"/>
              </w:rPr>
            </w:pPr>
            <w:r>
              <w:rPr>
                <w:rFonts w:hint="eastAsia" w:ascii="宋体" w:hAnsi="宋体" w:cs="宋体"/>
                <w:sz w:val="24"/>
                <w:lang w:val="en-US" w:eastAsia="zh-CN"/>
              </w:rPr>
              <w:t>除臭设施排放时于排放口检测。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387" w:type="dxa"/>
            <w:gridSpan w:val="2"/>
            <w:vAlign w:val="center"/>
          </w:tcPr>
          <w:p>
            <w:pPr>
              <w:spacing w:line="380" w:lineRule="exact"/>
              <w:jc w:val="center"/>
              <w:rPr>
                <w:rFonts w:hint="eastAsia" w:ascii="宋体" w:hAnsi="宋体" w:eastAsia="宋体" w:cs="宋体"/>
                <w:sz w:val="24"/>
              </w:rPr>
            </w:pPr>
            <w:r>
              <w:rPr>
                <w:rFonts w:hint="eastAsia" w:ascii="宋体" w:hAnsi="宋体" w:eastAsia="宋体" w:cs="宋体"/>
                <w:b/>
                <w:sz w:val="24"/>
              </w:rPr>
              <w:t>监测质量控制措施</w:t>
            </w:r>
          </w:p>
        </w:tc>
        <w:tc>
          <w:tcPr>
            <w:tcW w:w="11328" w:type="dxa"/>
            <w:gridSpan w:val="7"/>
            <w:vAlign w:val="center"/>
          </w:tcPr>
          <w:p>
            <w:pPr>
              <w:numPr>
                <w:ilvl w:val="0"/>
                <w:numId w:val="0"/>
              </w:numPr>
              <w:spacing w:beforeLines="20" w:afterLines="20"/>
              <w:ind w:leftChars="0"/>
              <w:rPr>
                <w:rFonts w:hint="eastAsia" w:ascii="宋体" w:hAnsi="宋体" w:eastAsia="宋体" w:cs="宋体"/>
                <w:sz w:val="24"/>
              </w:rPr>
            </w:pPr>
            <w:r>
              <w:rPr>
                <w:rFonts w:hint="eastAsia" w:ascii="宋体" w:hAnsi="宋体" w:cs="宋体"/>
                <w:sz w:val="24"/>
                <w:lang w:val="en-US" w:eastAsia="zh-CN"/>
              </w:rPr>
              <w:t>1、</w:t>
            </w:r>
            <w:r>
              <w:rPr>
                <w:rFonts w:hint="eastAsia" w:ascii="宋体" w:hAnsi="宋体" w:eastAsia="宋体" w:cs="宋体"/>
                <w:sz w:val="24"/>
              </w:rPr>
              <w:t>监测仪器每年进行计量检定，有合格证。进行标准样分析。</w:t>
            </w:r>
          </w:p>
          <w:p>
            <w:pPr>
              <w:spacing w:beforeLines="20" w:afterLines="20"/>
              <w:jc w:val="both"/>
              <w:rPr>
                <w:rFonts w:hint="eastAsia" w:ascii="宋体" w:hAnsi="宋体" w:eastAsia="宋体" w:cs="宋体"/>
                <w:sz w:val="24"/>
              </w:rPr>
            </w:pPr>
            <w:r>
              <w:rPr>
                <w:rFonts w:hint="eastAsia" w:ascii="宋体" w:hAnsi="宋体" w:cs="宋体"/>
                <w:sz w:val="24"/>
                <w:lang w:val="en-US" w:eastAsia="zh-CN"/>
              </w:rPr>
              <w:t>2、</w:t>
            </w:r>
            <w:r>
              <w:rPr>
                <w:rFonts w:hint="eastAsia" w:ascii="宋体" w:hAnsi="宋体" w:eastAsia="宋体" w:cs="宋体"/>
                <w:sz w:val="24"/>
              </w:rPr>
              <w:t>监测人人员持证上岗。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387" w:type="dxa"/>
            <w:gridSpan w:val="2"/>
            <w:vAlign w:val="center"/>
          </w:tcPr>
          <w:p>
            <w:pPr>
              <w:spacing w:line="380" w:lineRule="exact"/>
              <w:jc w:val="center"/>
              <w:rPr>
                <w:rFonts w:hint="eastAsia" w:ascii="宋体" w:hAnsi="宋体" w:eastAsia="宋体" w:cs="宋体"/>
                <w:b/>
                <w:sz w:val="24"/>
              </w:rPr>
            </w:pPr>
            <w:r>
              <w:rPr>
                <w:rFonts w:hint="eastAsia" w:ascii="宋体" w:hAnsi="宋体" w:eastAsia="宋体" w:cs="宋体"/>
                <w:b/>
                <w:sz w:val="24"/>
              </w:rPr>
              <w:t>监测结果</w:t>
            </w:r>
          </w:p>
          <w:p>
            <w:pPr>
              <w:spacing w:line="380" w:lineRule="exact"/>
              <w:jc w:val="center"/>
              <w:rPr>
                <w:rFonts w:hint="eastAsia" w:ascii="宋体" w:hAnsi="宋体" w:eastAsia="宋体" w:cs="宋体"/>
                <w:sz w:val="24"/>
              </w:rPr>
            </w:pPr>
            <w:r>
              <w:rPr>
                <w:rFonts w:hint="eastAsia" w:ascii="宋体" w:hAnsi="宋体" w:eastAsia="宋体" w:cs="宋体"/>
                <w:b/>
                <w:sz w:val="24"/>
              </w:rPr>
              <w:t>公开时限</w:t>
            </w:r>
          </w:p>
        </w:tc>
        <w:tc>
          <w:tcPr>
            <w:tcW w:w="11328" w:type="dxa"/>
            <w:gridSpan w:val="7"/>
            <w:vAlign w:val="center"/>
          </w:tcPr>
          <w:p>
            <w:pPr>
              <w:numPr>
                <w:ilvl w:val="0"/>
                <w:numId w:val="0"/>
              </w:numPr>
              <w:spacing w:beforeLines="20" w:afterLines="20"/>
              <w:ind w:leftChars="0"/>
              <w:jc w:val="both"/>
              <w:rPr>
                <w:rFonts w:hint="eastAsia" w:ascii="宋体" w:hAnsi="宋体" w:eastAsia="宋体" w:cs="宋体"/>
                <w:sz w:val="24"/>
              </w:rPr>
            </w:pPr>
            <w:r>
              <w:rPr>
                <w:rFonts w:hint="eastAsia" w:ascii="宋体" w:hAnsi="宋体" w:eastAsia="宋体" w:cs="宋体"/>
                <w:sz w:val="24"/>
              </w:rPr>
              <w:t>每</w:t>
            </w:r>
            <w:r>
              <w:rPr>
                <w:rFonts w:hint="eastAsia" w:ascii="宋体" w:hAnsi="宋体" w:cs="宋体"/>
                <w:sz w:val="24"/>
                <w:lang w:val="en-US" w:eastAsia="zh-CN"/>
              </w:rPr>
              <w:t>半年</w:t>
            </w:r>
            <w:r>
              <w:rPr>
                <w:rFonts w:hint="eastAsia" w:ascii="宋体" w:hAnsi="宋体" w:eastAsia="宋体" w:cs="宋体"/>
                <w:sz w:val="24"/>
                <w:lang w:eastAsia="zh-CN"/>
              </w:rPr>
              <w:t>次月</w:t>
            </w:r>
            <w:r>
              <w:rPr>
                <w:rFonts w:hint="eastAsia" w:ascii="宋体" w:hAnsi="宋体" w:eastAsia="宋体" w:cs="宋体"/>
                <w:sz w:val="24"/>
                <w:lang w:val="en-US" w:eastAsia="zh-CN"/>
              </w:rPr>
              <w:t>10</w:t>
            </w:r>
            <w:r>
              <w:rPr>
                <w:rFonts w:hint="eastAsia" w:ascii="宋体" w:hAnsi="宋体" w:eastAsia="宋体" w:cs="宋体"/>
                <w:sz w:val="24"/>
              </w:rPr>
              <w:t>日-</w:t>
            </w:r>
            <w:r>
              <w:rPr>
                <w:rFonts w:hint="eastAsia" w:ascii="宋体" w:hAnsi="宋体" w:eastAsia="宋体" w:cs="宋体"/>
                <w:sz w:val="24"/>
                <w:lang w:val="en-US" w:eastAsia="zh-CN"/>
              </w:rPr>
              <w:t>15</w:t>
            </w:r>
            <w:r>
              <w:rPr>
                <w:rFonts w:hint="eastAsia" w:ascii="宋体" w:hAnsi="宋体" w:eastAsia="宋体" w:cs="宋体"/>
                <w:sz w:val="24"/>
              </w:rPr>
              <w:t>日公布。</w:t>
            </w:r>
          </w:p>
        </w:tc>
      </w:tr>
    </w:tbl>
    <w:p>
      <w:pPr>
        <w:spacing w:line="400" w:lineRule="exact"/>
        <w:jc w:val="left"/>
        <w:rPr>
          <w:rFonts w:hint="eastAsia"/>
          <w:sz w:val="24"/>
        </w:rPr>
      </w:pPr>
      <w:r>
        <w:rPr>
          <w:rFonts w:hint="eastAsia"/>
          <w:b/>
          <w:sz w:val="24"/>
        </w:rPr>
        <w:t>备注：</w:t>
      </w:r>
      <w:r>
        <w:rPr>
          <w:rFonts w:hint="eastAsia"/>
          <w:sz w:val="24"/>
        </w:rPr>
        <w:t>按照水污染物排放、大气污染物排放、厂界噪声和周边环境质量分表</w:t>
      </w:r>
    </w:p>
    <w:p>
      <w:pPr>
        <w:tabs>
          <w:tab w:val="left" w:pos="514"/>
        </w:tabs>
        <w:jc w:val="left"/>
        <w:rPr>
          <w:rFonts w:hint="eastAsia" w:cs="Times New Roman"/>
          <w:kern w:val="2"/>
          <w:sz w:val="24"/>
          <w:szCs w:val="24"/>
          <w:lang w:val="en-US" w:eastAsia="zh-CN" w:bidi="ar-SA"/>
        </w:rPr>
      </w:pPr>
    </w:p>
    <w:p>
      <w:pPr>
        <w:spacing w:line="380" w:lineRule="exact"/>
        <w:jc w:val="center"/>
        <w:rPr>
          <w:rFonts w:hint="eastAsia" w:ascii="黑体" w:hAnsi="黑体" w:eastAsia="黑体"/>
          <w:b/>
          <w:sz w:val="32"/>
          <w:szCs w:val="32"/>
        </w:rPr>
      </w:pPr>
    </w:p>
    <w:p>
      <w:pPr>
        <w:spacing w:line="380" w:lineRule="exact"/>
        <w:jc w:val="center"/>
        <w:rPr>
          <w:rFonts w:hint="eastAsia" w:ascii="黑体" w:hAnsi="黑体" w:eastAsia="黑体"/>
          <w:b/>
          <w:sz w:val="32"/>
          <w:szCs w:val="32"/>
        </w:rPr>
      </w:pPr>
    </w:p>
    <w:p>
      <w:pPr>
        <w:spacing w:line="380" w:lineRule="exact"/>
        <w:jc w:val="center"/>
        <w:rPr>
          <w:rFonts w:hint="eastAsia" w:ascii="黑体" w:hAnsi="黑体" w:eastAsia="黑体"/>
          <w:b/>
          <w:sz w:val="32"/>
          <w:szCs w:val="32"/>
        </w:rPr>
      </w:pPr>
    </w:p>
    <w:p>
      <w:pPr>
        <w:spacing w:line="380" w:lineRule="exact"/>
        <w:jc w:val="center"/>
        <w:rPr>
          <w:rFonts w:hint="eastAsia" w:ascii="黑体" w:hAnsi="黑体" w:eastAsia="黑体"/>
          <w:b/>
          <w:sz w:val="32"/>
          <w:szCs w:val="32"/>
        </w:rPr>
      </w:pPr>
    </w:p>
    <w:p>
      <w:pPr>
        <w:spacing w:line="380" w:lineRule="exact"/>
        <w:jc w:val="center"/>
        <w:rPr>
          <w:rFonts w:hint="eastAsia" w:ascii="黑体" w:hAnsi="黑体" w:eastAsia="黑体"/>
          <w:b/>
          <w:sz w:val="32"/>
          <w:szCs w:val="32"/>
        </w:rPr>
      </w:pPr>
    </w:p>
    <w:p>
      <w:pPr>
        <w:spacing w:line="380" w:lineRule="exact"/>
        <w:jc w:val="center"/>
        <w:rPr>
          <w:rFonts w:ascii="黑体" w:hAnsi="黑体" w:eastAsia="黑体"/>
          <w:b/>
          <w:sz w:val="32"/>
          <w:szCs w:val="32"/>
        </w:rPr>
      </w:pPr>
      <w:r>
        <w:rPr>
          <w:rFonts w:hint="eastAsia" w:ascii="黑体" w:hAnsi="黑体" w:eastAsia="黑体"/>
          <w:b/>
          <w:sz w:val="32"/>
          <w:szCs w:val="32"/>
        </w:rPr>
        <w:t>自行监测内容表（厂界</w:t>
      </w:r>
      <w:r>
        <w:rPr>
          <w:rFonts w:hint="eastAsia" w:ascii="黑体" w:hAnsi="黑体" w:eastAsia="黑体"/>
          <w:b/>
          <w:sz w:val="32"/>
          <w:szCs w:val="32"/>
          <w:lang w:eastAsia="zh-CN"/>
        </w:rPr>
        <w:t>废气</w:t>
      </w:r>
      <w:r>
        <w:rPr>
          <w:rFonts w:hint="eastAsia" w:ascii="黑体" w:hAnsi="黑体" w:eastAsia="黑体"/>
          <w:b/>
          <w:sz w:val="32"/>
          <w:szCs w:val="32"/>
        </w:rPr>
        <w:t>）</w:t>
      </w:r>
    </w:p>
    <w:tbl>
      <w:tblPr>
        <w:tblStyle w:val="2"/>
        <w:tblW w:w="1371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605"/>
        <w:gridCol w:w="1552"/>
        <w:gridCol w:w="1298"/>
        <w:gridCol w:w="2070"/>
        <w:gridCol w:w="1365"/>
        <w:gridCol w:w="2145"/>
        <w:gridCol w:w="1845"/>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2387" w:type="dxa"/>
            <w:gridSpan w:val="2"/>
            <w:tcBorders>
              <w:top w:val="single" w:color="auto" w:sz="12" w:space="0"/>
              <w:bottom w:val="single" w:color="auto" w:sz="12" w:space="0"/>
              <w:tl2br w:val="single" w:color="auto" w:sz="4" w:space="0"/>
            </w:tcBorders>
            <w:vAlign w:val="center"/>
          </w:tcPr>
          <w:p>
            <w:pPr>
              <w:spacing w:line="320" w:lineRule="exact"/>
              <w:ind w:firstLine="843" w:firstLineChars="350"/>
              <w:jc w:val="center"/>
              <w:rPr>
                <w:rFonts w:ascii="黑体" w:hAnsi="黑体" w:eastAsia="黑体"/>
                <w:b/>
                <w:sz w:val="24"/>
              </w:rPr>
            </w:pPr>
            <w:r>
              <w:rPr>
                <w:rFonts w:hint="eastAsia" w:ascii="黑体" w:hAnsi="黑体" w:eastAsia="黑体"/>
                <w:b/>
                <w:sz w:val="24"/>
              </w:rPr>
              <w:t>监测项目</w:t>
            </w:r>
          </w:p>
          <w:p>
            <w:pPr>
              <w:spacing w:line="320" w:lineRule="exact"/>
              <w:rPr>
                <w:rFonts w:ascii="黑体" w:hAnsi="黑体" w:eastAsia="黑体"/>
                <w:b/>
                <w:sz w:val="24"/>
              </w:rPr>
            </w:pPr>
            <w:r>
              <w:rPr>
                <w:rFonts w:hint="eastAsia" w:ascii="黑体" w:hAnsi="黑体" w:eastAsia="黑体"/>
                <w:b/>
                <w:sz w:val="24"/>
              </w:rPr>
              <w:t>监测内容</w:t>
            </w:r>
          </w:p>
        </w:tc>
        <w:tc>
          <w:tcPr>
            <w:tcW w:w="1552"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监测点位</w:t>
            </w:r>
          </w:p>
        </w:tc>
        <w:tc>
          <w:tcPr>
            <w:tcW w:w="1298"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监测频次</w:t>
            </w:r>
          </w:p>
        </w:tc>
        <w:tc>
          <w:tcPr>
            <w:tcW w:w="2070" w:type="dxa"/>
            <w:tcBorders>
              <w:top w:val="single" w:color="auto" w:sz="12" w:space="0"/>
              <w:bottom w:val="single" w:color="auto" w:sz="12" w:space="0"/>
            </w:tcBorders>
            <w:vAlign w:val="center"/>
          </w:tcPr>
          <w:p>
            <w:pPr>
              <w:spacing w:line="320" w:lineRule="exact"/>
              <w:jc w:val="center"/>
              <w:rPr>
                <w:rFonts w:ascii="黑体" w:hAnsi="黑体" w:eastAsia="黑体"/>
                <w:b/>
                <w:sz w:val="24"/>
              </w:rPr>
            </w:pPr>
            <w:r>
              <w:rPr>
                <w:rFonts w:hint="eastAsia" w:ascii="黑体" w:hAnsi="黑体" w:eastAsia="黑体"/>
                <w:b/>
                <w:sz w:val="24"/>
              </w:rPr>
              <w:t>执行排放标准</w:t>
            </w:r>
          </w:p>
        </w:tc>
        <w:tc>
          <w:tcPr>
            <w:tcW w:w="1365"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标准限值</w:t>
            </w:r>
          </w:p>
        </w:tc>
        <w:tc>
          <w:tcPr>
            <w:tcW w:w="2145"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监测方法</w:t>
            </w:r>
          </w:p>
        </w:tc>
        <w:tc>
          <w:tcPr>
            <w:tcW w:w="1845"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分析仪器</w:t>
            </w:r>
          </w:p>
        </w:tc>
        <w:tc>
          <w:tcPr>
            <w:tcW w:w="1053"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ascii="黑体" w:hAnsi="黑体" w:eastAsia="黑体"/>
                <w:b/>
                <w:sz w:val="24"/>
              </w:rPr>
            </w:pPr>
            <w:r>
              <w:rPr>
                <w:rFonts w:hint="eastAsia" w:ascii="黑体" w:hAnsi="黑体" w:eastAsia="黑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82" w:type="dxa"/>
            <w:vMerge w:val="restart"/>
            <w:tcBorders>
              <w:top w:val="single" w:color="auto" w:sz="12" w:space="0"/>
            </w:tcBorders>
            <w:vAlign w:val="center"/>
          </w:tcPr>
          <w:p>
            <w:pPr>
              <w:spacing w:line="320" w:lineRule="exact"/>
              <w:jc w:val="center"/>
              <w:rPr>
                <w:rFonts w:ascii="黑体" w:hAnsi="黑体" w:eastAsia="黑体"/>
                <w:b/>
                <w:bCs/>
                <w:sz w:val="24"/>
              </w:rPr>
            </w:pPr>
            <w:r>
              <w:rPr>
                <w:rFonts w:hint="eastAsia" w:ascii="黑体" w:hAnsi="黑体" w:eastAsia="黑体"/>
                <w:b/>
                <w:bCs/>
                <w:sz w:val="24"/>
              </w:rPr>
              <w:t>监</w:t>
            </w:r>
          </w:p>
          <w:p>
            <w:pPr>
              <w:spacing w:line="320" w:lineRule="exact"/>
              <w:jc w:val="center"/>
              <w:rPr>
                <w:rFonts w:ascii="黑体" w:hAnsi="黑体" w:eastAsia="黑体"/>
                <w:b/>
                <w:bCs/>
                <w:sz w:val="24"/>
              </w:rPr>
            </w:pPr>
            <w:r>
              <w:rPr>
                <w:rFonts w:hint="eastAsia" w:ascii="黑体" w:hAnsi="黑体" w:eastAsia="黑体"/>
                <w:b/>
                <w:bCs/>
                <w:sz w:val="24"/>
              </w:rPr>
              <w:t>测</w:t>
            </w:r>
          </w:p>
          <w:p>
            <w:pPr>
              <w:spacing w:line="320" w:lineRule="exact"/>
              <w:jc w:val="center"/>
              <w:rPr>
                <w:rFonts w:ascii="黑体" w:hAnsi="黑体" w:eastAsia="黑体"/>
                <w:b/>
                <w:bCs/>
                <w:sz w:val="24"/>
              </w:rPr>
            </w:pPr>
            <w:r>
              <w:rPr>
                <w:rFonts w:hint="eastAsia" w:ascii="黑体" w:hAnsi="黑体" w:eastAsia="黑体"/>
                <w:b/>
                <w:bCs/>
                <w:sz w:val="24"/>
              </w:rPr>
              <w:t>指</w:t>
            </w:r>
          </w:p>
          <w:p>
            <w:pPr>
              <w:spacing w:line="320" w:lineRule="exact"/>
              <w:jc w:val="center"/>
              <w:rPr>
                <w:rFonts w:ascii="黑体" w:hAnsi="黑体" w:eastAsia="黑体"/>
                <w:b/>
                <w:bCs/>
                <w:sz w:val="24"/>
              </w:rPr>
            </w:pPr>
            <w:r>
              <w:rPr>
                <w:rFonts w:hint="eastAsia" w:ascii="黑体" w:hAnsi="黑体" w:eastAsia="黑体"/>
                <w:b/>
                <w:bCs/>
                <w:sz w:val="24"/>
              </w:rPr>
              <w:t>标</w:t>
            </w:r>
          </w:p>
          <w:p>
            <w:pPr>
              <w:spacing w:line="320" w:lineRule="exact"/>
              <w:jc w:val="center"/>
              <w:rPr>
                <w:bCs/>
                <w:sz w:val="24"/>
              </w:rPr>
            </w:pPr>
          </w:p>
        </w:tc>
        <w:tc>
          <w:tcPr>
            <w:tcW w:w="1605" w:type="dxa"/>
            <w:tcBorders>
              <w:top w:val="single" w:color="auto" w:sz="4" w:space="0"/>
              <w:bottom w:val="single" w:color="auto" w:sz="4" w:space="0"/>
            </w:tcBorders>
            <w:vAlign w:val="center"/>
          </w:tcPr>
          <w:p>
            <w:pPr>
              <w:spacing w:line="320" w:lineRule="exact"/>
              <w:jc w:val="center"/>
              <w:rPr>
                <w:rFonts w:hint="eastAsia" w:ascii="宋体" w:hAnsi="宋体" w:eastAsia="宋体" w:cs="宋体"/>
                <w:sz w:val="24"/>
                <w:lang w:eastAsia="zh-CN"/>
              </w:rPr>
            </w:pPr>
            <w:r>
              <w:rPr>
                <w:rFonts w:hint="eastAsia" w:ascii="宋体" w:hAnsi="宋体" w:eastAsia="宋体" w:cs="宋体"/>
                <w:sz w:val="24"/>
                <w:lang w:eastAsia="zh-CN"/>
              </w:rPr>
              <w:t>硫化氢</w:t>
            </w:r>
          </w:p>
        </w:tc>
        <w:tc>
          <w:tcPr>
            <w:tcW w:w="1552" w:type="dxa"/>
            <w:vAlign w:val="center"/>
          </w:tcPr>
          <w:p>
            <w:pPr>
              <w:spacing w:line="320" w:lineRule="exact"/>
              <w:jc w:val="center"/>
              <w:rPr>
                <w:rFonts w:hint="eastAsia" w:ascii="宋体" w:hAnsi="宋体" w:eastAsia="宋体" w:cs="宋体"/>
                <w:sz w:val="24"/>
                <w:lang w:eastAsia="zh-CN"/>
              </w:rPr>
            </w:pPr>
            <w:r>
              <w:rPr>
                <w:rFonts w:hint="eastAsia" w:ascii="宋体" w:hAnsi="宋体" w:eastAsia="宋体" w:cs="宋体"/>
                <w:sz w:val="24"/>
                <w:lang w:eastAsia="zh-CN"/>
              </w:rPr>
              <w:t>见下图</w:t>
            </w:r>
          </w:p>
        </w:tc>
        <w:tc>
          <w:tcPr>
            <w:tcW w:w="1298"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次</w:t>
            </w:r>
            <w:r>
              <w:rPr>
                <w:rFonts w:hint="eastAsia" w:ascii="宋体" w:hAnsi="宋体" w:eastAsia="宋体" w:cs="宋体"/>
                <w:sz w:val="24"/>
              </w:rPr>
              <w:t>/</w:t>
            </w:r>
            <w:r>
              <w:rPr>
                <w:rFonts w:hint="eastAsia" w:ascii="宋体" w:hAnsi="宋体" w:cs="宋体"/>
                <w:sz w:val="24"/>
                <w:lang w:eastAsia="zh-CN"/>
              </w:rPr>
              <w:t>半</w:t>
            </w:r>
            <w:r>
              <w:rPr>
                <w:rFonts w:hint="eastAsia" w:ascii="宋体" w:hAnsi="宋体" w:eastAsia="宋体" w:cs="宋体"/>
                <w:sz w:val="24"/>
                <w:lang w:eastAsia="zh-CN"/>
              </w:rPr>
              <w:t>年</w:t>
            </w:r>
          </w:p>
        </w:tc>
        <w:tc>
          <w:tcPr>
            <w:tcW w:w="2070" w:type="dxa"/>
            <w:vMerge w:val="restart"/>
            <w:vAlign w:val="center"/>
          </w:tcPr>
          <w:p>
            <w:pPr>
              <w:spacing w:line="320" w:lineRule="exact"/>
              <w:jc w:val="center"/>
              <w:rPr>
                <w:rFonts w:hint="eastAsia" w:ascii="宋体" w:hAnsi="宋体" w:eastAsia="宋体" w:cs="宋体"/>
                <w:color w:val="auto"/>
                <w:sz w:val="24"/>
                <w:lang w:val="en-US" w:eastAsia="zh-CN"/>
              </w:rPr>
            </w:pPr>
            <w:r>
              <w:rPr>
                <w:rFonts w:hint="eastAsia" w:ascii="宋体" w:hAnsi="宋体" w:cs="宋体"/>
                <w:color w:val="auto"/>
                <w:sz w:val="24"/>
                <w:lang w:val="en-US" w:eastAsia="zh-CN"/>
              </w:rPr>
              <w:t>排污许可证</w:t>
            </w:r>
          </w:p>
        </w:tc>
        <w:tc>
          <w:tcPr>
            <w:tcW w:w="1365" w:type="dxa"/>
            <w:vAlign w:val="center"/>
          </w:tcPr>
          <w:p>
            <w:pPr>
              <w:spacing w:line="32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0.06mg/</w:t>
            </w:r>
            <w:r>
              <w:rPr>
                <w:rFonts w:hint="eastAsia" w:ascii="宋体" w:hAnsi="宋体" w:cs="宋体"/>
                <w:sz w:val="24"/>
                <w:lang w:val="en-US" w:eastAsia="zh-CN"/>
              </w:rPr>
              <w:t>N</w:t>
            </w:r>
            <w:r>
              <w:rPr>
                <w:rFonts w:hint="eastAsia" w:ascii="宋体" w:hAnsi="宋体" w:eastAsia="宋体" w:cs="宋体"/>
                <w:sz w:val="24"/>
                <w:lang w:val="en-US" w:eastAsia="zh-CN"/>
              </w:rPr>
              <w:t>m</w:t>
            </w:r>
            <w:r>
              <w:rPr>
                <w:rFonts w:hint="eastAsia" w:ascii="宋体" w:hAnsi="宋体" w:eastAsia="宋体" w:cs="宋体"/>
                <w:sz w:val="24"/>
                <w:vertAlign w:val="superscript"/>
                <w:lang w:val="en-US" w:eastAsia="zh-CN"/>
              </w:rPr>
              <w:t>3</w:t>
            </w:r>
          </w:p>
        </w:tc>
        <w:tc>
          <w:tcPr>
            <w:tcW w:w="2145" w:type="dxa"/>
            <w:vAlign w:val="center"/>
          </w:tcPr>
          <w:p>
            <w:pPr>
              <w:spacing w:line="380" w:lineRule="exact"/>
              <w:rPr>
                <w:rFonts w:hint="eastAsia" w:ascii="宋体" w:hAnsi="宋体" w:eastAsia="宋体" w:cs="宋体"/>
                <w:sz w:val="24"/>
                <w:lang w:val="en-US" w:eastAsia="zh-CN"/>
              </w:rPr>
            </w:pPr>
            <w:r>
              <w:rPr>
                <w:rFonts w:hint="eastAsia" w:ascii="宋体" w:hAnsi="宋体" w:cs="宋体"/>
                <w:color w:val="auto"/>
                <w:sz w:val="24"/>
                <w:lang w:val="en-US" w:eastAsia="zh-CN"/>
              </w:rPr>
              <w:t>空气质量 硫化氢 甲硫醇 甲硫醚 二甲二硫的测定气象色谱法 GB/14678-199</w:t>
            </w:r>
          </w:p>
        </w:tc>
        <w:tc>
          <w:tcPr>
            <w:tcW w:w="1845" w:type="dxa"/>
            <w:vAlign w:val="center"/>
          </w:tcPr>
          <w:p>
            <w:pPr>
              <w:spacing w:line="320" w:lineRule="exact"/>
              <w:jc w:val="center"/>
              <w:rPr>
                <w:rFonts w:hint="eastAsia" w:ascii="宋体" w:hAnsi="宋体" w:eastAsia="宋体" w:cs="宋体"/>
                <w:sz w:val="24"/>
                <w:lang w:val="en-US" w:eastAsia="zh-CN"/>
              </w:rPr>
            </w:pPr>
            <w:r>
              <w:rPr>
                <w:rFonts w:hint="eastAsia" w:ascii="宋体" w:hAnsi="宋体" w:cs="宋体"/>
                <w:sz w:val="24"/>
                <w:lang w:val="en-US" w:eastAsia="zh-CN"/>
              </w:rPr>
              <w:t>气相色谱仪</w:t>
            </w:r>
          </w:p>
        </w:tc>
        <w:tc>
          <w:tcPr>
            <w:tcW w:w="1053" w:type="dxa"/>
            <w:vMerge w:val="restart"/>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委托</w:t>
            </w:r>
            <w:r>
              <w:rPr>
                <w:rFonts w:hint="eastAsia" w:ascii="宋体" w:hAnsi="宋体" w:eastAsia="宋体" w:cs="宋体"/>
                <w:sz w:val="24"/>
                <w:lang w:eastAsia="zh-CN"/>
              </w:rPr>
              <w:t>青岛维勘质量检测有限公司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782" w:type="dxa"/>
            <w:vMerge w:val="continue"/>
            <w:vAlign w:val="center"/>
          </w:tcPr>
          <w:p>
            <w:pPr>
              <w:spacing w:line="320" w:lineRule="exact"/>
              <w:jc w:val="center"/>
              <w:rPr>
                <w:bCs/>
                <w:sz w:val="24"/>
              </w:rPr>
            </w:pPr>
          </w:p>
        </w:tc>
        <w:tc>
          <w:tcPr>
            <w:tcW w:w="1605" w:type="dxa"/>
            <w:tcBorders>
              <w:top w:val="single" w:color="auto" w:sz="4" w:space="0"/>
              <w:bottom w:val="single" w:color="auto" w:sz="4" w:space="0"/>
            </w:tcBorders>
            <w:vAlign w:val="center"/>
          </w:tcPr>
          <w:p>
            <w:pPr>
              <w:spacing w:line="320" w:lineRule="exact"/>
              <w:jc w:val="center"/>
              <w:rPr>
                <w:rFonts w:hint="default" w:ascii="宋体" w:hAnsi="宋体" w:eastAsia="宋体" w:cs="宋体"/>
                <w:sz w:val="24"/>
                <w:lang w:val="en-US" w:eastAsia="zh-CN"/>
              </w:rPr>
            </w:pPr>
            <w:r>
              <w:rPr>
                <w:rFonts w:hint="eastAsia" w:ascii="宋体" w:hAnsi="宋体" w:eastAsia="宋体" w:cs="宋体"/>
                <w:sz w:val="24"/>
                <w:lang w:eastAsia="zh-CN"/>
              </w:rPr>
              <w:t>氨</w:t>
            </w:r>
            <w:r>
              <w:rPr>
                <w:rFonts w:hint="eastAsia" w:ascii="宋体" w:hAnsi="宋体" w:cs="宋体"/>
                <w:sz w:val="24"/>
                <w:lang w:eastAsia="zh-CN"/>
              </w:rPr>
              <w:t>（</w:t>
            </w:r>
            <w:r>
              <w:rPr>
                <w:rFonts w:hint="eastAsia" w:ascii="宋体" w:hAnsi="宋体" w:cs="宋体"/>
                <w:sz w:val="24"/>
                <w:lang w:val="en-US" w:eastAsia="zh-CN"/>
              </w:rPr>
              <w:t>氨气）</w:t>
            </w:r>
          </w:p>
        </w:tc>
        <w:tc>
          <w:tcPr>
            <w:tcW w:w="1552"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lang w:eastAsia="zh-CN"/>
              </w:rPr>
              <w:t>见下图</w:t>
            </w:r>
          </w:p>
        </w:tc>
        <w:tc>
          <w:tcPr>
            <w:tcW w:w="1298"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次</w:t>
            </w:r>
            <w:r>
              <w:rPr>
                <w:rFonts w:hint="eastAsia" w:ascii="宋体" w:hAnsi="宋体" w:eastAsia="宋体" w:cs="宋体"/>
                <w:sz w:val="24"/>
              </w:rPr>
              <w:t>/</w:t>
            </w:r>
            <w:r>
              <w:rPr>
                <w:rFonts w:hint="eastAsia" w:ascii="宋体" w:hAnsi="宋体" w:cs="宋体"/>
                <w:sz w:val="24"/>
                <w:lang w:eastAsia="zh-CN"/>
              </w:rPr>
              <w:t>半</w:t>
            </w:r>
            <w:r>
              <w:rPr>
                <w:rFonts w:hint="eastAsia" w:ascii="宋体" w:hAnsi="宋体" w:eastAsia="宋体" w:cs="宋体"/>
                <w:sz w:val="24"/>
                <w:lang w:eastAsia="zh-CN"/>
              </w:rPr>
              <w:t>年</w:t>
            </w:r>
          </w:p>
        </w:tc>
        <w:tc>
          <w:tcPr>
            <w:tcW w:w="2070" w:type="dxa"/>
            <w:vMerge w:val="continue"/>
            <w:vAlign w:val="center"/>
          </w:tcPr>
          <w:p>
            <w:pPr>
              <w:spacing w:line="320" w:lineRule="exact"/>
              <w:jc w:val="center"/>
              <w:rPr>
                <w:rFonts w:hint="eastAsia" w:ascii="宋体" w:hAnsi="宋体" w:eastAsia="宋体" w:cs="宋体"/>
                <w:color w:val="auto"/>
                <w:sz w:val="24"/>
              </w:rPr>
            </w:pPr>
          </w:p>
        </w:tc>
        <w:tc>
          <w:tcPr>
            <w:tcW w:w="1365" w:type="dxa"/>
            <w:vAlign w:val="center"/>
          </w:tcPr>
          <w:p>
            <w:pPr>
              <w:spacing w:line="32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1.5mg/</w:t>
            </w:r>
            <w:r>
              <w:rPr>
                <w:rFonts w:hint="eastAsia" w:ascii="宋体" w:hAnsi="宋体" w:cs="宋体"/>
                <w:sz w:val="24"/>
                <w:lang w:val="en-US" w:eastAsia="zh-CN"/>
              </w:rPr>
              <w:t>N</w:t>
            </w:r>
            <w:r>
              <w:rPr>
                <w:rFonts w:hint="eastAsia" w:ascii="宋体" w:hAnsi="宋体" w:eastAsia="宋体" w:cs="宋体"/>
                <w:sz w:val="24"/>
                <w:lang w:val="en-US" w:eastAsia="zh-CN"/>
              </w:rPr>
              <w:t>m</w:t>
            </w:r>
            <w:r>
              <w:rPr>
                <w:rFonts w:hint="eastAsia" w:ascii="宋体" w:hAnsi="宋体" w:eastAsia="宋体" w:cs="宋体"/>
                <w:sz w:val="24"/>
                <w:vertAlign w:val="superscript"/>
                <w:lang w:val="en-US" w:eastAsia="zh-CN"/>
              </w:rPr>
              <w:t>3</w:t>
            </w:r>
          </w:p>
        </w:tc>
        <w:tc>
          <w:tcPr>
            <w:tcW w:w="2145" w:type="dxa"/>
            <w:vAlign w:val="center"/>
          </w:tcPr>
          <w:p>
            <w:pPr>
              <w:spacing w:line="380" w:lineRule="exact"/>
              <w:rPr>
                <w:rFonts w:hint="eastAsia" w:ascii="宋体" w:hAnsi="宋体" w:eastAsia="宋体" w:cs="宋体"/>
                <w:sz w:val="24"/>
                <w:lang w:val="en-US" w:eastAsia="zh-CN"/>
              </w:rPr>
            </w:pPr>
            <w:r>
              <w:rPr>
                <w:rFonts w:hint="eastAsia" w:ascii="宋体" w:hAnsi="宋体" w:cs="宋体"/>
                <w:sz w:val="24"/>
                <w:lang w:val="en-US" w:eastAsia="zh-CN"/>
              </w:rPr>
              <w:t>空气和废气 氨的测定 纳氏试剂分光光度法 HJ533-2009</w:t>
            </w:r>
          </w:p>
        </w:tc>
        <w:tc>
          <w:tcPr>
            <w:tcW w:w="1845" w:type="dxa"/>
            <w:vAlign w:val="center"/>
          </w:tcPr>
          <w:p>
            <w:pPr>
              <w:spacing w:line="32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分光光度计</w:t>
            </w:r>
          </w:p>
        </w:tc>
        <w:tc>
          <w:tcPr>
            <w:tcW w:w="1053" w:type="dxa"/>
            <w:vMerge w:val="continue"/>
            <w:vAlign w:val="top"/>
          </w:tcPr>
          <w:p>
            <w:pPr>
              <w:spacing w:line="32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782" w:type="dxa"/>
            <w:vMerge w:val="continue"/>
            <w:vAlign w:val="center"/>
          </w:tcPr>
          <w:p>
            <w:pPr>
              <w:spacing w:line="320" w:lineRule="exact"/>
              <w:jc w:val="center"/>
              <w:rPr>
                <w:bCs/>
                <w:sz w:val="24"/>
              </w:rPr>
            </w:pPr>
          </w:p>
        </w:tc>
        <w:tc>
          <w:tcPr>
            <w:tcW w:w="1605" w:type="dxa"/>
            <w:tcBorders>
              <w:top w:val="single" w:color="auto" w:sz="4" w:space="0"/>
              <w:bottom w:val="single" w:color="auto" w:sz="4" w:space="0"/>
            </w:tcBorders>
            <w:vAlign w:val="center"/>
          </w:tcPr>
          <w:p>
            <w:pPr>
              <w:spacing w:line="320" w:lineRule="exact"/>
              <w:jc w:val="center"/>
              <w:rPr>
                <w:rFonts w:hint="eastAsia" w:ascii="宋体" w:hAnsi="宋体" w:eastAsia="宋体" w:cs="宋体"/>
                <w:sz w:val="24"/>
                <w:lang w:eastAsia="zh-CN"/>
              </w:rPr>
            </w:pPr>
            <w:r>
              <w:rPr>
                <w:rFonts w:hint="eastAsia" w:ascii="宋体" w:hAnsi="宋体" w:eastAsia="宋体" w:cs="宋体"/>
                <w:sz w:val="24"/>
                <w:lang w:eastAsia="zh-CN"/>
              </w:rPr>
              <w:t>臭气</w:t>
            </w:r>
          </w:p>
        </w:tc>
        <w:tc>
          <w:tcPr>
            <w:tcW w:w="1552" w:type="dxa"/>
            <w:vAlign w:val="center"/>
          </w:tcPr>
          <w:p>
            <w:pPr>
              <w:spacing w:line="320" w:lineRule="exact"/>
              <w:jc w:val="center"/>
              <w:rPr>
                <w:rFonts w:hint="eastAsia" w:ascii="宋体" w:hAnsi="宋体" w:eastAsia="宋体" w:cs="宋体"/>
                <w:sz w:val="24"/>
                <w:lang w:val="en-US" w:eastAsia="zh-CN"/>
              </w:rPr>
            </w:pPr>
            <w:r>
              <w:rPr>
                <w:rFonts w:hint="eastAsia" w:ascii="宋体" w:hAnsi="宋体" w:eastAsia="宋体" w:cs="宋体"/>
                <w:sz w:val="24"/>
                <w:lang w:eastAsia="zh-CN"/>
              </w:rPr>
              <w:t>见下图</w:t>
            </w:r>
          </w:p>
        </w:tc>
        <w:tc>
          <w:tcPr>
            <w:tcW w:w="1298"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次</w:t>
            </w:r>
            <w:r>
              <w:rPr>
                <w:rFonts w:hint="eastAsia" w:ascii="宋体" w:hAnsi="宋体" w:eastAsia="宋体" w:cs="宋体"/>
                <w:sz w:val="24"/>
              </w:rPr>
              <w:t>/</w:t>
            </w:r>
            <w:r>
              <w:rPr>
                <w:rFonts w:hint="eastAsia" w:ascii="宋体" w:hAnsi="宋体" w:cs="宋体"/>
                <w:sz w:val="24"/>
                <w:lang w:eastAsia="zh-CN"/>
              </w:rPr>
              <w:t>半</w:t>
            </w:r>
            <w:r>
              <w:rPr>
                <w:rFonts w:hint="eastAsia" w:ascii="宋体" w:hAnsi="宋体" w:eastAsia="宋体" w:cs="宋体"/>
                <w:sz w:val="24"/>
                <w:lang w:eastAsia="zh-CN"/>
              </w:rPr>
              <w:t>年</w:t>
            </w:r>
          </w:p>
        </w:tc>
        <w:tc>
          <w:tcPr>
            <w:tcW w:w="2070" w:type="dxa"/>
            <w:vMerge w:val="continue"/>
            <w:vAlign w:val="center"/>
          </w:tcPr>
          <w:p>
            <w:pPr>
              <w:spacing w:line="320" w:lineRule="exact"/>
              <w:jc w:val="center"/>
              <w:rPr>
                <w:rFonts w:hint="eastAsia" w:ascii="宋体" w:hAnsi="宋体" w:eastAsia="宋体" w:cs="宋体"/>
                <w:sz w:val="24"/>
              </w:rPr>
            </w:pPr>
          </w:p>
        </w:tc>
        <w:tc>
          <w:tcPr>
            <w:tcW w:w="1365" w:type="dxa"/>
            <w:vAlign w:val="center"/>
          </w:tcPr>
          <w:p>
            <w:pPr>
              <w:spacing w:line="32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20</w:t>
            </w:r>
          </w:p>
        </w:tc>
        <w:tc>
          <w:tcPr>
            <w:tcW w:w="2145" w:type="dxa"/>
            <w:vAlign w:val="center"/>
          </w:tcPr>
          <w:p>
            <w:pPr>
              <w:spacing w:line="380" w:lineRule="exact"/>
              <w:rPr>
                <w:rFonts w:hint="eastAsia" w:ascii="宋体" w:hAnsi="宋体" w:eastAsia="宋体" w:cs="宋体"/>
                <w:sz w:val="24"/>
                <w:lang w:val="en-US" w:eastAsia="zh-CN"/>
              </w:rPr>
            </w:pPr>
            <w:r>
              <w:rPr>
                <w:rFonts w:hint="eastAsia" w:ascii="宋体" w:hAnsi="宋体" w:cs="宋体"/>
                <w:sz w:val="24"/>
                <w:lang w:val="en-US" w:eastAsia="zh-CN"/>
              </w:rPr>
              <w:t>空气质量 恶臭的测定 三点比较式臭袋法 GB T14675-1993</w:t>
            </w:r>
          </w:p>
        </w:tc>
        <w:tc>
          <w:tcPr>
            <w:tcW w:w="1845" w:type="dxa"/>
            <w:vAlign w:val="center"/>
          </w:tcPr>
          <w:p>
            <w:pPr>
              <w:spacing w:line="320" w:lineRule="exact"/>
              <w:jc w:val="center"/>
              <w:rPr>
                <w:rFonts w:hint="eastAsia" w:ascii="宋体" w:hAnsi="宋体" w:eastAsia="宋体" w:cs="宋体"/>
                <w:sz w:val="24"/>
                <w:lang w:val="en-US" w:eastAsia="zh-CN"/>
              </w:rPr>
            </w:pPr>
            <w:r>
              <w:rPr>
                <w:rFonts w:hint="eastAsia" w:ascii="宋体" w:hAnsi="宋体" w:cs="宋体"/>
                <w:sz w:val="24"/>
                <w:lang w:val="en-US" w:eastAsia="zh-CN"/>
              </w:rPr>
              <w:t>三点比较式臭袋</w:t>
            </w:r>
          </w:p>
        </w:tc>
        <w:tc>
          <w:tcPr>
            <w:tcW w:w="1053" w:type="dxa"/>
            <w:vMerge w:val="continue"/>
            <w:vAlign w:val="top"/>
          </w:tcPr>
          <w:p>
            <w:pPr>
              <w:spacing w:line="32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Merge w:val="continue"/>
            <w:vAlign w:val="center"/>
          </w:tcPr>
          <w:p>
            <w:pPr>
              <w:spacing w:line="320" w:lineRule="exact"/>
              <w:jc w:val="center"/>
              <w:rPr>
                <w:bCs/>
                <w:sz w:val="24"/>
              </w:rPr>
            </w:pPr>
          </w:p>
        </w:tc>
        <w:tc>
          <w:tcPr>
            <w:tcW w:w="1605" w:type="dxa"/>
            <w:tcBorders>
              <w:top w:val="single" w:color="auto" w:sz="4" w:space="0"/>
            </w:tcBorders>
            <w:vAlign w:val="center"/>
          </w:tcPr>
          <w:p>
            <w:pPr>
              <w:spacing w:line="320" w:lineRule="exact"/>
              <w:jc w:val="center"/>
              <w:rPr>
                <w:rFonts w:hint="eastAsia" w:ascii="宋体" w:hAnsi="宋体" w:eastAsia="宋体" w:cs="宋体"/>
                <w:sz w:val="24"/>
                <w:lang w:eastAsia="zh-CN"/>
              </w:rPr>
            </w:pPr>
            <w:r>
              <w:rPr>
                <w:rFonts w:hint="eastAsia" w:ascii="宋体" w:hAnsi="宋体" w:eastAsia="宋体" w:cs="宋体"/>
                <w:sz w:val="24"/>
                <w:lang w:eastAsia="zh-CN"/>
              </w:rPr>
              <w:t>甲烷</w:t>
            </w:r>
          </w:p>
        </w:tc>
        <w:tc>
          <w:tcPr>
            <w:tcW w:w="1552"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lang w:eastAsia="zh-CN"/>
              </w:rPr>
              <w:t>见下图</w:t>
            </w:r>
          </w:p>
        </w:tc>
        <w:tc>
          <w:tcPr>
            <w:tcW w:w="1298"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lang w:eastAsia="zh-CN"/>
              </w:rPr>
              <w:t>次</w:t>
            </w:r>
            <w:r>
              <w:rPr>
                <w:rFonts w:hint="eastAsia" w:ascii="宋体" w:hAnsi="宋体" w:eastAsia="宋体" w:cs="宋体"/>
                <w:sz w:val="24"/>
              </w:rPr>
              <w:t>/</w:t>
            </w:r>
            <w:r>
              <w:rPr>
                <w:rFonts w:hint="eastAsia" w:ascii="宋体" w:hAnsi="宋体" w:eastAsia="宋体" w:cs="宋体"/>
                <w:sz w:val="24"/>
                <w:lang w:eastAsia="zh-CN"/>
              </w:rPr>
              <w:t>年</w:t>
            </w:r>
          </w:p>
        </w:tc>
        <w:tc>
          <w:tcPr>
            <w:tcW w:w="2070" w:type="dxa"/>
            <w:vMerge w:val="continue"/>
            <w:vAlign w:val="center"/>
          </w:tcPr>
          <w:p>
            <w:pPr>
              <w:spacing w:line="320" w:lineRule="exact"/>
              <w:jc w:val="center"/>
              <w:rPr>
                <w:rFonts w:hint="eastAsia" w:ascii="宋体" w:hAnsi="宋体" w:eastAsia="宋体" w:cs="宋体"/>
                <w:sz w:val="24"/>
              </w:rPr>
            </w:pPr>
          </w:p>
        </w:tc>
        <w:tc>
          <w:tcPr>
            <w:tcW w:w="1365" w:type="dxa"/>
            <w:vAlign w:val="center"/>
          </w:tcPr>
          <w:p>
            <w:pPr>
              <w:spacing w:line="32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w:t>
            </w:r>
            <w:r>
              <w:rPr>
                <w:rFonts w:hint="eastAsia" w:ascii="宋体" w:hAnsi="宋体" w:cs="宋体"/>
                <w:color w:val="auto"/>
                <w:sz w:val="24"/>
                <w:lang w:val="en-US" w:eastAsia="zh-CN"/>
              </w:rPr>
              <w:t>%</w:t>
            </w:r>
          </w:p>
        </w:tc>
        <w:tc>
          <w:tcPr>
            <w:tcW w:w="2145" w:type="dxa"/>
            <w:vAlign w:val="center"/>
          </w:tcPr>
          <w:p>
            <w:pPr>
              <w:spacing w:line="380" w:lineRule="exact"/>
              <w:rPr>
                <w:rFonts w:hint="eastAsia" w:ascii="宋体" w:hAnsi="宋体" w:eastAsia="宋体" w:cs="宋体"/>
                <w:color w:val="auto"/>
                <w:sz w:val="24"/>
                <w:lang w:val="en-US" w:eastAsia="zh-CN"/>
              </w:rPr>
            </w:pPr>
            <w:r>
              <w:rPr>
                <w:rFonts w:hint="eastAsia" w:ascii="宋体" w:hAnsi="宋体" w:cs="宋体"/>
                <w:sz w:val="24"/>
                <w:lang w:val="en-US" w:eastAsia="zh-CN"/>
              </w:rPr>
              <w:t>环境空气 总烃、甲烷和非甲烷总烃的测定，直接进样-气象色谱法（HJ 604-2017)</w:t>
            </w:r>
            <w:r>
              <w:rPr>
                <w:rFonts w:hint="eastAsia" w:ascii="宋体" w:hAnsi="宋体" w:eastAsia="宋体" w:cs="宋体"/>
                <w:color w:val="000000"/>
                <w:kern w:val="0"/>
                <w:sz w:val="21"/>
                <w:szCs w:val="21"/>
                <w:lang w:val="en-US" w:eastAsia="zh-CN" w:bidi="ar"/>
              </w:rPr>
              <w:t xml:space="preserve"> </w:t>
            </w:r>
          </w:p>
        </w:tc>
        <w:tc>
          <w:tcPr>
            <w:tcW w:w="1845" w:type="dxa"/>
            <w:vAlign w:val="center"/>
          </w:tcPr>
          <w:p>
            <w:pPr>
              <w:spacing w:line="320" w:lineRule="exact"/>
              <w:jc w:val="center"/>
              <w:rPr>
                <w:rFonts w:hint="default" w:ascii="宋体" w:hAnsi="宋体" w:eastAsia="宋体" w:cs="宋体"/>
                <w:sz w:val="24"/>
                <w:lang w:val="en-US" w:eastAsia="zh-CN"/>
              </w:rPr>
            </w:pPr>
            <w:r>
              <w:rPr>
                <w:rFonts w:hint="eastAsia" w:ascii="宋体" w:hAnsi="宋体" w:cs="宋体"/>
                <w:sz w:val="24"/>
                <w:lang w:val="en-US" w:eastAsia="zh-CN"/>
              </w:rPr>
              <w:t>气相色谱仪</w:t>
            </w:r>
          </w:p>
        </w:tc>
        <w:tc>
          <w:tcPr>
            <w:tcW w:w="1053" w:type="dxa"/>
            <w:vMerge w:val="continue"/>
            <w:vAlign w:val="top"/>
          </w:tcPr>
          <w:p>
            <w:pPr>
              <w:spacing w:line="32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387" w:type="dxa"/>
            <w:gridSpan w:val="2"/>
            <w:vAlign w:val="center"/>
          </w:tcPr>
          <w:p>
            <w:pPr>
              <w:spacing w:line="380" w:lineRule="exact"/>
              <w:jc w:val="center"/>
              <w:rPr>
                <w:rFonts w:hint="eastAsia" w:ascii="宋体" w:hAnsi="宋体" w:eastAsia="宋体" w:cs="宋体"/>
                <w:sz w:val="24"/>
              </w:rPr>
            </w:pPr>
            <w:r>
              <w:rPr>
                <w:rFonts w:hint="eastAsia" w:ascii="宋体" w:hAnsi="宋体" w:eastAsia="宋体" w:cs="宋体"/>
                <w:b/>
                <w:sz w:val="24"/>
              </w:rPr>
              <w:t>污染物</w:t>
            </w:r>
            <w:r>
              <w:rPr>
                <w:rFonts w:hint="eastAsia" w:ascii="宋体" w:hAnsi="宋体" w:eastAsia="宋体" w:cs="宋体"/>
                <w:b/>
                <w:sz w:val="24"/>
                <w:lang w:eastAsia="zh-CN"/>
              </w:rPr>
              <w:t>检测布点原则</w:t>
            </w:r>
          </w:p>
        </w:tc>
        <w:tc>
          <w:tcPr>
            <w:tcW w:w="11328" w:type="dxa"/>
            <w:gridSpan w:val="7"/>
            <w:vAlign w:val="center"/>
          </w:tcPr>
          <w:p>
            <w:pPr>
              <w:spacing w:beforeLines="20" w:afterLines="20"/>
              <w:jc w:val="both"/>
              <w:rPr>
                <w:rFonts w:hint="eastAsia" w:ascii="宋体" w:hAnsi="宋体" w:eastAsia="宋体" w:cs="宋体"/>
                <w:sz w:val="24"/>
                <w:lang w:val="en-US" w:eastAsia="zh-CN"/>
              </w:rPr>
            </w:pPr>
            <w:r>
              <w:rPr>
                <w:rFonts w:hint="eastAsia" w:ascii="宋体" w:hAnsi="宋体" w:eastAsia="宋体" w:cs="宋体"/>
                <w:sz w:val="24"/>
                <w:lang w:val="en-US" w:eastAsia="zh-CN"/>
              </w:rPr>
              <w:t>根据当天风向布置检测点位  上风向厂区外1个点 下风向厂区外3个点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387" w:type="dxa"/>
            <w:gridSpan w:val="2"/>
            <w:vAlign w:val="center"/>
          </w:tcPr>
          <w:p>
            <w:pPr>
              <w:spacing w:line="380" w:lineRule="exact"/>
              <w:jc w:val="center"/>
              <w:rPr>
                <w:rFonts w:hint="eastAsia" w:ascii="宋体" w:hAnsi="宋体" w:eastAsia="宋体" w:cs="宋体"/>
                <w:sz w:val="24"/>
              </w:rPr>
            </w:pPr>
            <w:r>
              <w:rPr>
                <w:rFonts w:hint="eastAsia" w:ascii="宋体" w:hAnsi="宋体" w:eastAsia="宋体" w:cs="宋体"/>
                <w:b/>
                <w:sz w:val="24"/>
              </w:rPr>
              <w:t>监测质量控制措施</w:t>
            </w:r>
          </w:p>
        </w:tc>
        <w:tc>
          <w:tcPr>
            <w:tcW w:w="11328" w:type="dxa"/>
            <w:gridSpan w:val="7"/>
            <w:vAlign w:val="center"/>
          </w:tcPr>
          <w:p>
            <w:pPr>
              <w:spacing w:beforeLines="20" w:afterLines="20"/>
              <w:jc w:val="both"/>
              <w:rPr>
                <w:rFonts w:hint="eastAsia" w:ascii="宋体" w:hAnsi="宋体" w:eastAsia="宋体" w:cs="宋体"/>
                <w:sz w:val="24"/>
              </w:rPr>
            </w:pPr>
            <w:r>
              <w:rPr>
                <w:rFonts w:hint="eastAsia" w:ascii="宋体" w:hAnsi="宋体" w:eastAsia="宋体" w:cs="宋体"/>
                <w:sz w:val="24"/>
              </w:rPr>
              <w:t>委托</w:t>
            </w:r>
            <w:r>
              <w:rPr>
                <w:rFonts w:hint="eastAsia" w:ascii="宋体" w:hAnsi="宋体" w:eastAsia="宋体" w:cs="宋体"/>
                <w:sz w:val="24"/>
                <w:lang w:eastAsia="zh-CN"/>
              </w:rPr>
              <w:t>青岛维勘质量检测有限公司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387" w:type="dxa"/>
            <w:gridSpan w:val="2"/>
            <w:vAlign w:val="center"/>
          </w:tcPr>
          <w:p>
            <w:pPr>
              <w:spacing w:line="380" w:lineRule="exact"/>
              <w:jc w:val="center"/>
              <w:rPr>
                <w:rFonts w:hint="eastAsia" w:ascii="宋体" w:hAnsi="宋体" w:eastAsia="宋体" w:cs="宋体"/>
                <w:b/>
                <w:sz w:val="24"/>
              </w:rPr>
            </w:pPr>
            <w:r>
              <w:rPr>
                <w:rFonts w:hint="eastAsia" w:ascii="宋体" w:hAnsi="宋体" w:eastAsia="宋体" w:cs="宋体"/>
                <w:b/>
                <w:sz w:val="24"/>
              </w:rPr>
              <w:t>监测结果</w:t>
            </w:r>
          </w:p>
          <w:p>
            <w:pPr>
              <w:spacing w:line="380" w:lineRule="exact"/>
              <w:jc w:val="center"/>
              <w:rPr>
                <w:rFonts w:hint="eastAsia" w:ascii="宋体" w:hAnsi="宋体" w:eastAsia="宋体" w:cs="宋体"/>
                <w:sz w:val="24"/>
              </w:rPr>
            </w:pPr>
            <w:r>
              <w:rPr>
                <w:rFonts w:hint="eastAsia" w:ascii="宋体" w:hAnsi="宋体" w:eastAsia="宋体" w:cs="宋体"/>
                <w:b/>
                <w:sz w:val="24"/>
              </w:rPr>
              <w:t>公开时限</w:t>
            </w:r>
          </w:p>
        </w:tc>
        <w:tc>
          <w:tcPr>
            <w:tcW w:w="11328" w:type="dxa"/>
            <w:gridSpan w:val="7"/>
            <w:vAlign w:val="center"/>
          </w:tcPr>
          <w:p>
            <w:pPr>
              <w:numPr>
                <w:ilvl w:val="0"/>
                <w:numId w:val="0"/>
              </w:numPr>
              <w:spacing w:beforeLines="20" w:afterLines="20"/>
              <w:ind w:leftChars="0"/>
              <w:jc w:val="both"/>
              <w:rPr>
                <w:rFonts w:hint="eastAsia" w:ascii="宋体" w:hAnsi="宋体" w:eastAsia="宋体" w:cs="宋体"/>
                <w:sz w:val="24"/>
              </w:rPr>
            </w:pPr>
            <w:r>
              <w:rPr>
                <w:rFonts w:hint="eastAsia" w:ascii="宋体" w:hAnsi="宋体" w:eastAsia="宋体" w:cs="宋体"/>
                <w:sz w:val="24"/>
              </w:rPr>
              <w:t>每季度</w:t>
            </w:r>
            <w:r>
              <w:rPr>
                <w:rFonts w:hint="eastAsia" w:ascii="宋体" w:hAnsi="宋体" w:eastAsia="宋体" w:cs="宋体"/>
                <w:sz w:val="24"/>
                <w:lang w:eastAsia="zh-CN"/>
              </w:rPr>
              <w:t>次月</w:t>
            </w:r>
            <w:r>
              <w:rPr>
                <w:rFonts w:hint="eastAsia" w:ascii="宋体" w:hAnsi="宋体" w:eastAsia="宋体" w:cs="宋体"/>
                <w:sz w:val="24"/>
                <w:lang w:val="en-US" w:eastAsia="zh-CN"/>
              </w:rPr>
              <w:t>10</w:t>
            </w:r>
            <w:r>
              <w:rPr>
                <w:rFonts w:hint="eastAsia" w:ascii="宋体" w:hAnsi="宋体" w:eastAsia="宋体" w:cs="宋体"/>
                <w:sz w:val="24"/>
              </w:rPr>
              <w:t>日-</w:t>
            </w:r>
            <w:r>
              <w:rPr>
                <w:rFonts w:hint="eastAsia" w:ascii="宋体" w:hAnsi="宋体" w:eastAsia="宋体" w:cs="宋体"/>
                <w:sz w:val="24"/>
                <w:lang w:val="en-US" w:eastAsia="zh-CN"/>
              </w:rPr>
              <w:t>15</w:t>
            </w:r>
            <w:r>
              <w:rPr>
                <w:rFonts w:hint="eastAsia" w:ascii="宋体" w:hAnsi="宋体" w:eastAsia="宋体" w:cs="宋体"/>
                <w:sz w:val="24"/>
              </w:rPr>
              <w:t>日公布。</w:t>
            </w:r>
          </w:p>
        </w:tc>
      </w:tr>
    </w:tbl>
    <w:p>
      <w:pPr>
        <w:spacing w:line="400" w:lineRule="exact"/>
        <w:jc w:val="left"/>
        <w:rPr>
          <w:rFonts w:hint="eastAsia"/>
          <w:sz w:val="24"/>
        </w:rPr>
      </w:pPr>
      <w:r>
        <w:rPr>
          <w:rFonts w:hint="eastAsia"/>
          <w:b/>
          <w:sz w:val="24"/>
        </w:rPr>
        <w:t>备注：</w:t>
      </w:r>
      <w:r>
        <w:rPr>
          <w:rFonts w:hint="eastAsia"/>
          <w:sz w:val="24"/>
        </w:rPr>
        <w:t>按照水污染物排放、大气污染物排放、厂界噪声和周边环境质量分表</w:t>
      </w:r>
    </w:p>
    <w:p>
      <w:pPr>
        <w:tabs>
          <w:tab w:val="left" w:pos="514"/>
        </w:tabs>
        <w:jc w:val="left"/>
        <w:rPr>
          <w:rFonts w:hint="eastAsia" w:cs="Times New Roman"/>
          <w:kern w:val="2"/>
          <w:sz w:val="24"/>
          <w:szCs w:val="24"/>
          <w:lang w:val="en-US" w:eastAsia="zh-CN" w:bidi="ar-SA"/>
        </w:rPr>
      </w:pPr>
    </w:p>
    <w:p>
      <w:pPr>
        <w:tabs>
          <w:tab w:val="left" w:pos="514"/>
        </w:tabs>
        <w:jc w:val="left"/>
      </w:pPr>
    </w:p>
    <w:p>
      <w:pPr>
        <w:spacing w:line="380" w:lineRule="exact"/>
        <w:jc w:val="center"/>
        <w:rPr>
          <w:rFonts w:ascii="黑体" w:hAnsi="黑体" w:eastAsia="黑体"/>
          <w:b/>
          <w:sz w:val="32"/>
          <w:szCs w:val="32"/>
        </w:rPr>
      </w:pPr>
      <w:r>
        <w:rPr>
          <w:rFonts w:hint="eastAsia" w:ascii="黑体" w:hAnsi="黑体" w:eastAsia="黑体"/>
          <w:b/>
          <w:sz w:val="32"/>
          <w:szCs w:val="32"/>
        </w:rPr>
        <w:t>自行监测内容表（厂界噪声）</w:t>
      </w:r>
    </w:p>
    <w:tbl>
      <w:tblPr>
        <w:tblStyle w:val="2"/>
        <w:tblW w:w="13715"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59"/>
        <w:gridCol w:w="1698"/>
        <w:gridCol w:w="1314"/>
        <w:gridCol w:w="2624"/>
        <w:gridCol w:w="1140"/>
        <w:gridCol w:w="1579"/>
        <w:gridCol w:w="1852"/>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41" w:type="dxa"/>
            <w:gridSpan w:val="2"/>
            <w:tcBorders>
              <w:top w:val="single" w:color="auto" w:sz="12" w:space="0"/>
              <w:bottom w:val="single" w:color="auto" w:sz="12" w:space="0"/>
              <w:tl2br w:val="single" w:color="auto" w:sz="4" w:space="0"/>
            </w:tcBorders>
            <w:vAlign w:val="center"/>
          </w:tcPr>
          <w:p>
            <w:pPr>
              <w:spacing w:line="320" w:lineRule="exact"/>
              <w:ind w:firstLine="843" w:firstLineChars="350"/>
              <w:jc w:val="center"/>
              <w:rPr>
                <w:rFonts w:hint="eastAsia" w:ascii="宋体" w:hAnsi="宋体" w:eastAsia="宋体" w:cs="宋体"/>
                <w:b/>
                <w:sz w:val="24"/>
              </w:rPr>
            </w:pPr>
            <w:r>
              <w:rPr>
                <w:rFonts w:hint="eastAsia" w:ascii="宋体" w:hAnsi="宋体" w:eastAsia="宋体" w:cs="宋体"/>
                <w:b/>
                <w:sz w:val="24"/>
              </w:rPr>
              <w:t>监测项目</w:t>
            </w:r>
          </w:p>
          <w:p>
            <w:pPr>
              <w:spacing w:line="320" w:lineRule="exact"/>
              <w:rPr>
                <w:rFonts w:hint="eastAsia" w:ascii="宋体" w:hAnsi="宋体" w:eastAsia="宋体" w:cs="宋体"/>
                <w:b/>
                <w:sz w:val="24"/>
              </w:rPr>
            </w:pPr>
            <w:r>
              <w:rPr>
                <w:rFonts w:hint="eastAsia" w:ascii="宋体" w:hAnsi="宋体" w:eastAsia="宋体" w:cs="宋体"/>
                <w:b/>
                <w:sz w:val="24"/>
              </w:rPr>
              <w:t>监测内容</w:t>
            </w:r>
          </w:p>
        </w:tc>
        <w:tc>
          <w:tcPr>
            <w:tcW w:w="1698" w:type="dxa"/>
            <w:tcBorders>
              <w:top w:val="single" w:color="auto" w:sz="12" w:space="0"/>
              <w:bottom w:val="single" w:color="auto" w:sz="12" w:space="0"/>
            </w:tcBorders>
            <w:vAlign w:val="center"/>
          </w:tcPr>
          <w:p>
            <w:pPr>
              <w:spacing w:line="320" w:lineRule="exact"/>
              <w:jc w:val="center"/>
              <w:rPr>
                <w:rFonts w:hint="eastAsia" w:ascii="宋体" w:hAnsi="宋体" w:eastAsia="宋体" w:cs="宋体"/>
                <w:b/>
                <w:sz w:val="24"/>
              </w:rPr>
            </w:pPr>
            <w:r>
              <w:rPr>
                <w:rFonts w:hint="eastAsia" w:ascii="宋体" w:hAnsi="宋体" w:eastAsia="宋体" w:cs="宋体"/>
                <w:b/>
                <w:sz w:val="24"/>
              </w:rPr>
              <w:t>监测点位</w:t>
            </w:r>
          </w:p>
        </w:tc>
        <w:tc>
          <w:tcPr>
            <w:tcW w:w="1314" w:type="dxa"/>
            <w:tcBorders>
              <w:top w:val="single" w:color="auto" w:sz="12" w:space="0"/>
              <w:bottom w:val="single" w:color="auto" w:sz="12" w:space="0"/>
            </w:tcBorders>
            <w:vAlign w:val="center"/>
          </w:tcPr>
          <w:p>
            <w:pPr>
              <w:spacing w:line="320" w:lineRule="exact"/>
              <w:jc w:val="center"/>
              <w:rPr>
                <w:rFonts w:hint="eastAsia" w:ascii="宋体" w:hAnsi="宋体" w:eastAsia="宋体" w:cs="宋体"/>
                <w:b/>
                <w:sz w:val="24"/>
              </w:rPr>
            </w:pPr>
            <w:r>
              <w:rPr>
                <w:rFonts w:hint="eastAsia" w:ascii="宋体" w:hAnsi="宋体" w:eastAsia="宋体" w:cs="宋体"/>
                <w:b/>
                <w:sz w:val="24"/>
              </w:rPr>
              <w:t>监测频次</w:t>
            </w:r>
          </w:p>
        </w:tc>
        <w:tc>
          <w:tcPr>
            <w:tcW w:w="2624" w:type="dxa"/>
            <w:tcBorders>
              <w:top w:val="single" w:color="auto" w:sz="12" w:space="0"/>
              <w:bottom w:val="single" w:color="auto" w:sz="12" w:space="0"/>
            </w:tcBorders>
            <w:vAlign w:val="center"/>
          </w:tcPr>
          <w:p>
            <w:pPr>
              <w:spacing w:line="320" w:lineRule="exact"/>
              <w:jc w:val="center"/>
              <w:rPr>
                <w:rFonts w:hint="eastAsia" w:ascii="宋体" w:hAnsi="宋体" w:eastAsia="宋体" w:cs="宋体"/>
                <w:b/>
                <w:sz w:val="24"/>
              </w:rPr>
            </w:pPr>
            <w:r>
              <w:rPr>
                <w:rFonts w:hint="eastAsia" w:ascii="宋体" w:hAnsi="宋体" w:eastAsia="宋体" w:cs="宋体"/>
                <w:b/>
                <w:sz w:val="24"/>
              </w:rPr>
              <w:t>执行排放标准</w:t>
            </w:r>
          </w:p>
        </w:tc>
        <w:tc>
          <w:tcPr>
            <w:tcW w:w="1140"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hint="eastAsia" w:ascii="宋体" w:hAnsi="宋体" w:eastAsia="宋体" w:cs="宋体"/>
                <w:b/>
                <w:sz w:val="24"/>
              </w:rPr>
            </w:pPr>
            <w:r>
              <w:rPr>
                <w:rFonts w:hint="eastAsia" w:ascii="宋体" w:hAnsi="宋体" w:eastAsia="宋体" w:cs="宋体"/>
                <w:b/>
                <w:sz w:val="24"/>
              </w:rPr>
              <w:t>标准限值</w:t>
            </w:r>
          </w:p>
        </w:tc>
        <w:tc>
          <w:tcPr>
            <w:tcW w:w="1579"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hint="eastAsia" w:ascii="宋体" w:hAnsi="宋体" w:eastAsia="宋体" w:cs="宋体"/>
                <w:b/>
                <w:sz w:val="24"/>
              </w:rPr>
            </w:pPr>
            <w:r>
              <w:rPr>
                <w:rFonts w:hint="eastAsia" w:ascii="宋体" w:hAnsi="宋体" w:eastAsia="宋体" w:cs="宋体"/>
                <w:b/>
                <w:sz w:val="24"/>
              </w:rPr>
              <w:t>监测方法</w:t>
            </w:r>
          </w:p>
        </w:tc>
        <w:tc>
          <w:tcPr>
            <w:tcW w:w="1852"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hint="eastAsia" w:ascii="宋体" w:hAnsi="宋体" w:eastAsia="宋体" w:cs="宋体"/>
                <w:b/>
                <w:sz w:val="24"/>
              </w:rPr>
            </w:pPr>
            <w:r>
              <w:rPr>
                <w:rFonts w:hint="eastAsia" w:ascii="宋体" w:hAnsi="宋体" w:eastAsia="宋体" w:cs="宋体"/>
                <w:b/>
                <w:sz w:val="24"/>
              </w:rPr>
              <w:t>分析仪器</w:t>
            </w:r>
          </w:p>
        </w:tc>
        <w:tc>
          <w:tcPr>
            <w:tcW w:w="1267" w:type="dxa"/>
            <w:tcBorders>
              <w:top w:val="single" w:color="auto" w:sz="12" w:space="0"/>
              <w:bottom w:val="single" w:color="auto" w:sz="12" w:space="0"/>
            </w:tcBorders>
            <w:vAlign w:val="center"/>
          </w:tcPr>
          <w:p>
            <w:pPr>
              <w:spacing w:line="320" w:lineRule="exact"/>
              <w:ind w:left="-109" w:leftChars="-61" w:right="-99" w:rightChars="-47" w:hanging="19" w:hangingChars="8"/>
              <w:jc w:val="center"/>
              <w:rPr>
                <w:rFonts w:hint="eastAsia" w:ascii="宋体" w:hAnsi="宋体" w:eastAsia="宋体" w:cs="宋体"/>
                <w:b/>
                <w:sz w:val="24"/>
              </w:rPr>
            </w:pPr>
            <w:r>
              <w:rPr>
                <w:rFonts w:hint="eastAsia" w:ascii="宋体" w:hAnsi="宋体" w:eastAsia="宋体"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82" w:type="dxa"/>
            <w:vMerge w:val="restart"/>
            <w:tcBorders>
              <w:top w:val="single" w:color="auto" w:sz="12" w:space="0"/>
            </w:tcBorders>
            <w:vAlign w:val="center"/>
          </w:tcPr>
          <w:p>
            <w:pPr>
              <w:spacing w:line="320" w:lineRule="exact"/>
              <w:jc w:val="center"/>
              <w:rPr>
                <w:rFonts w:hint="eastAsia" w:ascii="宋体" w:hAnsi="宋体" w:eastAsia="宋体" w:cs="宋体"/>
                <w:b/>
                <w:bCs/>
                <w:sz w:val="24"/>
              </w:rPr>
            </w:pPr>
            <w:r>
              <w:rPr>
                <w:rFonts w:hint="eastAsia" w:ascii="宋体" w:hAnsi="宋体" w:eastAsia="宋体" w:cs="宋体"/>
                <w:b/>
                <w:bCs/>
                <w:sz w:val="24"/>
              </w:rPr>
              <w:t>监</w:t>
            </w:r>
          </w:p>
          <w:p>
            <w:pPr>
              <w:spacing w:line="320" w:lineRule="exact"/>
              <w:jc w:val="center"/>
              <w:rPr>
                <w:rFonts w:hint="eastAsia" w:ascii="宋体" w:hAnsi="宋体" w:eastAsia="宋体" w:cs="宋体"/>
                <w:b/>
                <w:bCs/>
                <w:sz w:val="24"/>
              </w:rPr>
            </w:pPr>
            <w:r>
              <w:rPr>
                <w:rFonts w:hint="eastAsia" w:ascii="宋体" w:hAnsi="宋体" w:eastAsia="宋体" w:cs="宋体"/>
                <w:b/>
                <w:bCs/>
                <w:sz w:val="24"/>
              </w:rPr>
              <w:t>测</w:t>
            </w:r>
          </w:p>
          <w:p>
            <w:pPr>
              <w:spacing w:line="320" w:lineRule="exact"/>
              <w:jc w:val="center"/>
              <w:rPr>
                <w:rFonts w:hint="eastAsia" w:ascii="宋体" w:hAnsi="宋体" w:eastAsia="宋体" w:cs="宋体"/>
                <w:b/>
                <w:bCs/>
                <w:sz w:val="24"/>
              </w:rPr>
            </w:pPr>
            <w:r>
              <w:rPr>
                <w:rFonts w:hint="eastAsia" w:ascii="宋体" w:hAnsi="宋体" w:eastAsia="宋体" w:cs="宋体"/>
                <w:b/>
                <w:bCs/>
                <w:sz w:val="24"/>
              </w:rPr>
              <w:t>指</w:t>
            </w:r>
          </w:p>
          <w:p>
            <w:pPr>
              <w:spacing w:line="320" w:lineRule="exact"/>
              <w:jc w:val="center"/>
              <w:rPr>
                <w:rFonts w:hint="eastAsia" w:ascii="宋体" w:hAnsi="宋体" w:eastAsia="宋体" w:cs="宋体"/>
                <w:b/>
                <w:bCs/>
                <w:sz w:val="24"/>
              </w:rPr>
            </w:pPr>
            <w:r>
              <w:rPr>
                <w:rFonts w:hint="eastAsia" w:ascii="宋体" w:hAnsi="宋体" w:eastAsia="宋体" w:cs="宋体"/>
                <w:b/>
                <w:bCs/>
                <w:sz w:val="24"/>
              </w:rPr>
              <w:t>标</w:t>
            </w:r>
          </w:p>
          <w:p>
            <w:pPr>
              <w:spacing w:line="320" w:lineRule="exact"/>
              <w:jc w:val="center"/>
              <w:rPr>
                <w:rFonts w:hint="eastAsia" w:ascii="宋体" w:hAnsi="宋体" w:eastAsia="宋体" w:cs="宋体"/>
                <w:bCs/>
                <w:sz w:val="24"/>
              </w:rPr>
            </w:pPr>
          </w:p>
        </w:tc>
        <w:tc>
          <w:tcPr>
            <w:tcW w:w="1459" w:type="dxa"/>
            <w:tcBorders>
              <w:top w:val="single" w:color="auto" w:sz="4" w:space="0"/>
              <w:bottom w:val="single" w:color="auto" w:sz="4" w:space="0"/>
            </w:tcBorders>
            <w:vAlign w:val="center"/>
          </w:tcPr>
          <w:p>
            <w:pPr>
              <w:spacing w:line="320" w:lineRule="exact"/>
              <w:jc w:val="center"/>
              <w:rPr>
                <w:rFonts w:hint="eastAsia" w:ascii="宋体" w:hAnsi="宋体" w:eastAsia="宋体" w:cs="宋体"/>
                <w:sz w:val="24"/>
                <w:lang w:eastAsia="zh-CN"/>
              </w:rPr>
            </w:pPr>
            <w:r>
              <w:rPr>
                <w:rFonts w:hint="eastAsia" w:ascii="宋体" w:hAnsi="宋体" w:eastAsia="宋体" w:cs="宋体"/>
                <w:sz w:val="24"/>
                <w:lang w:eastAsia="zh-CN"/>
              </w:rPr>
              <w:t>厂界噪声</w:t>
            </w:r>
            <w:r>
              <w:rPr>
                <w:rFonts w:hint="eastAsia" w:ascii="宋体" w:hAnsi="宋体" w:eastAsia="宋体" w:cs="宋体"/>
                <w:sz w:val="24"/>
                <w:lang w:val="en-US" w:eastAsia="zh-CN"/>
              </w:rPr>
              <w:t>-</w:t>
            </w:r>
            <w:r>
              <w:rPr>
                <w:rFonts w:hint="eastAsia" w:ascii="宋体" w:hAnsi="宋体" w:eastAsia="宋体" w:cs="宋体"/>
                <w:sz w:val="24"/>
                <w:lang w:eastAsia="zh-CN"/>
              </w:rPr>
              <w:t>昼间</w:t>
            </w:r>
          </w:p>
        </w:tc>
        <w:tc>
          <w:tcPr>
            <w:tcW w:w="1698"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厂界外1米处</w:t>
            </w:r>
          </w:p>
        </w:tc>
        <w:tc>
          <w:tcPr>
            <w:tcW w:w="1314"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1次/季度</w:t>
            </w:r>
          </w:p>
        </w:tc>
        <w:tc>
          <w:tcPr>
            <w:tcW w:w="2624" w:type="dxa"/>
            <w:vMerge w:val="restart"/>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GB12348-2008《工业企业厂界环境噪声排放标准》</w:t>
            </w:r>
          </w:p>
        </w:tc>
        <w:tc>
          <w:tcPr>
            <w:tcW w:w="1140" w:type="dxa"/>
            <w:vAlign w:val="center"/>
          </w:tcPr>
          <w:p>
            <w:pPr>
              <w:spacing w:line="32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65dB</w:t>
            </w:r>
          </w:p>
        </w:tc>
        <w:tc>
          <w:tcPr>
            <w:tcW w:w="1579" w:type="dxa"/>
            <w:vAlign w:val="center"/>
          </w:tcPr>
          <w:p>
            <w:pPr>
              <w:spacing w:line="38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GB12349</w:t>
            </w:r>
          </w:p>
        </w:tc>
        <w:tc>
          <w:tcPr>
            <w:tcW w:w="1852" w:type="dxa"/>
            <w:vAlign w:val="center"/>
          </w:tcPr>
          <w:p>
            <w:pPr>
              <w:spacing w:line="32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AWA6228多功能声级计</w:t>
            </w:r>
          </w:p>
        </w:tc>
        <w:tc>
          <w:tcPr>
            <w:tcW w:w="1267" w:type="dxa"/>
            <w:vMerge w:val="restart"/>
            <w:vAlign w:val="top"/>
          </w:tcPr>
          <w:p>
            <w:pPr>
              <w:spacing w:line="320" w:lineRule="exact"/>
              <w:jc w:val="center"/>
              <w:rPr>
                <w:rFonts w:hint="eastAsia" w:ascii="宋体" w:hAnsi="宋体" w:eastAsia="宋体" w:cs="宋体"/>
                <w:sz w:val="24"/>
              </w:rPr>
            </w:pPr>
            <w:r>
              <w:rPr>
                <w:rFonts w:hint="eastAsia" w:ascii="宋体" w:hAnsi="宋体" w:eastAsia="宋体" w:cs="宋体"/>
                <w:sz w:val="24"/>
              </w:rPr>
              <w:t>委托</w:t>
            </w:r>
            <w:r>
              <w:rPr>
                <w:rFonts w:hint="eastAsia" w:ascii="宋体" w:hAnsi="宋体" w:eastAsia="宋体" w:cs="宋体"/>
                <w:sz w:val="24"/>
                <w:lang w:eastAsia="zh-CN"/>
              </w:rPr>
              <w:t>青岛维勘质量检测有限公司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2" w:type="dxa"/>
            <w:vMerge w:val="continue"/>
            <w:vAlign w:val="center"/>
          </w:tcPr>
          <w:p>
            <w:pPr>
              <w:spacing w:line="320" w:lineRule="exact"/>
              <w:jc w:val="center"/>
              <w:rPr>
                <w:rFonts w:hint="eastAsia" w:ascii="宋体" w:hAnsi="宋体" w:eastAsia="宋体" w:cs="宋体"/>
                <w:bCs/>
                <w:sz w:val="24"/>
              </w:rPr>
            </w:pPr>
          </w:p>
        </w:tc>
        <w:tc>
          <w:tcPr>
            <w:tcW w:w="1459" w:type="dxa"/>
            <w:tcBorders>
              <w:top w:val="single" w:color="auto" w:sz="4" w:space="0"/>
            </w:tcBorders>
            <w:vAlign w:val="center"/>
          </w:tcPr>
          <w:p>
            <w:pPr>
              <w:spacing w:line="320" w:lineRule="exact"/>
              <w:jc w:val="center"/>
              <w:rPr>
                <w:rFonts w:hint="eastAsia" w:ascii="宋体" w:hAnsi="宋体" w:eastAsia="宋体" w:cs="宋体"/>
                <w:sz w:val="24"/>
                <w:lang w:eastAsia="zh-CN"/>
              </w:rPr>
            </w:pPr>
            <w:r>
              <w:rPr>
                <w:rFonts w:hint="eastAsia" w:ascii="宋体" w:hAnsi="宋体" w:eastAsia="宋体" w:cs="宋体"/>
                <w:sz w:val="24"/>
                <w:lang w:eastAsia="zh-CN"/>
              </w:rPr>
              <w:t>厂界噪声</w:t>
            </w:r>
            <w:r>
              <w:rPr>
                <w:rFonts w:hint="eastAsia" w:ascii="宋体" w:hAnsi="宋体" w:eastAsia="宋体" w:cs="宋体"/>
                <w:sz w:val="24"/>
                <w:lang w:val="en-US" w:eastAsia="zh-CN"/>
              </w:rPr>
              <w:t>-夜间</w:t>
            </w:r>
          </w:p>
        </w:tc>
        <w:tc>
          <w:tcPr>
            <w:tcW w:w="1698"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厂界外1米处</w:t>
            </w:r>
          </w:p>
        </w:tc>
        <w:tc>
          <w:tcPr>
            <w:tcW w:w="1314" w:type="dxa"/>
            <w:vAlign w:val="center"/>
          </w:tcPr>
          <w:p>
            <w:pPr>
              <w:spacing w:line="320" w:lineRule="exact"/>
              <w:jc w:val="center"/>
              <w:rPr>
                <w:rFonts w:hint="eastAsia" w:ascii="宋体" w:hAnsi="宋体" w:eastAsia="宋体" w:cs="宋体"/>
                <w:sz w:val="24"/>
              </w:rPr>
            </w:pPr>
            <w:r>
              <w:rPr>
                <w:rFonts w:hint="eastAsia" w:ascii="宋体" w:hAnsi="宋体" w:eastAsia="宋体" w:cs="宋体"/>
                <w:sz w:val="24"/>
              </w:rPr>
              <w:t>1次/季度</w:t>
            </w:r>
          </w:p>
        </w:tc>
        <w:tc>
          <w:tcPr>
            <w:tcW w:w="2624" w:type="dxa"/>
            <w:vMerge w:val="continue"/>
            <w:vAlign w:val="center"/>
          </w:tcPr>
          <w:p>
            <w:pPr>
              <w:spacing w:line="320" w:lineRule="exact"/>
              <w:jc w:val="center"/>
              <w:rPr>
                <w:rFonts w:hint="eastAsia" w:ascii="宋体" w:hAnsi="宋体" w:eastAsia="宋体" w:cs="宋体"/>
                <w:sz w:val="24"/>
              </w:rPr>
            </w:pPr>
          </w:p>
        </w:tc>
        <w:tc>
          <w:tcPr>
            <w:tcW w:w="1140" w:type="dxa"/>
            <w:vAlign w:val="center"/>
          </w:tcPr>
          <w:p>
            <w:pPr>
              <w:spacing w:line="32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55dB</w:t>
            </w:r>
          </w:p>
        </w:tc>
        <w:tc>
          <w:tcPr>
            <w:tcW w:w="1579" w:type="dxa"/>
            <w:vAlign w:val="center"/>
          </w:tcPr>
          <w:p>
            <w:pPr>
              <w:spacing w:line="38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GB12349</w:t>
            </w:r>
          </w:p>
        </w:tc>
        <w:tc>
          <w:tcPr>
            <w:tcW w:w="1852" w:type="dxa"/>
            <w:vAlign w:val="center"/>
          </w:tcPr>
          <w:p>
            <w:pPr>
              <w:spacing w:line="320" w:lineRule="exact"/>
              <w:jc w:val="center"/>
              <w:rPr>
                <w:rFonts w:hint="eastAsia" w:ascii="宋体" w:hAnsi="宋体" w:eastAsia="宋体" w:cs="宋体"/>
                <w:sz w:val="24"/>
                <w:lang w:val="en-US" w:eastAsia="zh-CN"/>
              </w:rPr>
            </w:pPr>
            <w:r>
              <w:rPr>
                <w:rFonts w:hint="eastAsia" w:ascii="宋体" w:hAnsi="宋体" w:eastAsia="宋体" w:cs="宋体"/>
                <w:sz w:val="24"/>
                <w:lang w:val="en-US" w:eastAsia="zh-CN"/>
              </w:rPr>
              <w:t>AWA6228多功能声级计</w:t>
            </w:r>
          </w:p>
        </w:tc>
        <w:tc>
          <w:tcPr>
            <w:tcW w:w="1267" w:type="dxa"/>
            <w:vMerge w:val="continue"/>
            <w:vAlign w:val="top"/>
          </w:tcPr>
          <w:p>
            <w:pPr>
              <w:spacing w:line="320" w:lineRule="exact"/>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41" w:type="dxa"/>
            <w:gridSpan w:val="2"/>
            <w:vAlign w:val="center"/>
          </w:tcPr>
          <w:p>
            <w:pPr>
              <w:spacing w:line="380" w:lineRule="exact"/>
              <w:jc w:val="center"/>
              <w:rPr>
                <w:rFonts w:hint="eastAsia" w:ascii="宋体" w:hAnsi="宋体" w:eastAsia="宋体" w:cs="宋体"/>
                <w:sz w:val="24"/>
              </w:rPr>
            </w:pPr>
            <w:r>
              <w:rPr>
                <w:rFonts w:hint="eastAsia" w:ascii="宋体" w:hAnsi="宋体" w:eastAsia="宋体" w:cs="宋体"/>
                <w:b/>
                <w:sz w:val="24"/>
                <w:lang w:eastAsia="zh-CN"/>
              </w:rPr>
              <w:t>噪声检测布点原则</w:t>
            </w:r>
          </w:p>
        </w:tc>
        <w:tc>
          <w:tcPr>
            <w:tcW w:w="11474" w:type="dxa"/>
            <w:gridSpan w:val="7"/>
            <w:vAlign w:val="center"/>
          </w:tcPr>
          <w:p>
            <w:pPr>
              <w:spacing w:beforeLines="20" w:afterLines="20"/>
              <w:rPr>
                <w:rFonts w:hint="eastAsia" w:ascii="宋体" w:hAnsi="宋体" w:eastAsia="宋体" w:cs="宋体"/>
                <w:sz w:val="24"/>
                <w:lang w:eastAsia="zh-CN"/>
              </w:rPr>
            </w:pPr>
            <w:r>
              <w:rPr>
                <w:rFonts w:hint="eastAsia" w:ascii="宋体" w:hAnsi="宋体" w:eastAsia="宋体" w:cs="宋体"/>
                <w:sz w:val="24"/>
                <w:lang w:eastAsia="zh-CN"/>
              </w:rPr>
              <w:t>依据</w:t>
            </w:r>
            <w:r>
              <w:rPr>
                <w:rFonts w:hint="eastAsia" w:ascii="宋体" w:hAnsi="宋体" w:eastAsia="宋体" w:cs="宋体"/>
                <w:sz w:val="24"/>
              </w:rPr>
              <w:t>GB12348-2008《工业企业厂界环境噪声排放标准》</w:t>
            </w:r>
            <w:r>
              <w:rPr>
                <w:rFonts w:hint="eastAsia" w:ascii="宋体" w:hAnsi="宋体" w:eastAsia="宋体" w:cs="宋体"/>
                <w:sz w:val="24"/>
                <w:lang w:eastAsia="zh-CN"/>
              </w:rPr>
              <w:t>的要求，在噪声敏感处布点。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241" w:type="dxa"/>
            <w:gridSpan w:val="2"/>
            <w:vAlign w:val="center"/>
          </w:tcPr>
          <w:p>
            <w:pPr>
              <w:spacing w:line="380" w:lineRule="exact"/>
              <w:jc w:val="center"/>
              <w:rPr>
                <w:rFonts w:hint="eastAsia" w:ascii="宋体" w:hAnsi="宋体" w:eastAsia="宋体" w:cs="宋体"/>
                <w:sz w:val="24"/>
              </w:rPr>
            </w:pPr>
            <w:r>
              <w:rPr>
                <w:rFonts w:hint="eastAsia" w:ascii="宋体" w:hAnsi="宋体" w:eastAsia="宋体" w:cs="宋体"/>
                <w:b/>
                <w:sz w:val="24"/>
              </w:rPr>
              <w:t>监测质量控制措施</w:t>
            </w:r>
          </w:p>
        </w:tc>
        <w:tc>
          <w:tcPr>
            <w:tcW w:w="11474" w:type="dxa"/>
            <w:gridSpan w:val="7"/>
            <w:vAlign w:val="top"/>
          </w:tcPr>
          <w:p>
            <w:pPr>
              <w:spacing w:beforeLines="20" w:afterLines="20"/>
              <w:rPr>
                <w:rFonts w:hint="eastAsia" w:ascii="宋体" w:hAnsi="宋体" w:eastAsia="宋体" w:cs="宋体"/>
                <w:sz w:val="24"/>
              </w:rPr>
            </w:pPr>
            <w:r>
              <w:rPr>
                <w:rFonts w:hint="eastAsia" w:ascii="宋体" w:hAnsi="宋体" w:eastAsia="宋体" w:cs="宋体"/>
                <w:sz w:val="24"/>
              </w:rPr>
              <w:t>委托</w:t>
            </w:r>
            <w:r>
              <w:rPr>
                <w:rFonts w:hint="eastAsia" w:ascii="宋体" w:hAnsi="宋体" w:eastAsia="宋体" w:cs="宋体"/>
                <w:sz w:val="24"/>
                <w:lang w:eastAsia="zh-CN"/>
              </w:rPr>
              <w:t>青岛维勘质量检测有限公司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241" w:type="dxa"/>
            <w:gridSpan w:val="2"/>
            <w:vAlign w:val="center"/>
          </w:tcPr>
          <w:p>
            <w:pPr>
              <w:spacing w:line="380" w:lineRule="exact"/>
              <w:jc w:val="center"/>
              <w:rPr>
                <w:rFonts w:hint="eastAsia" w:ascii="宋体" w:hAnsi="宋体" w:eastAsia="宋体" w:cs="宋体"/>
                <w:b/>
                <w:sz w:val="24"/>
              </w:rPr>
            </w:pPr>
            <w:r>
              <w:rPr>
                <w:rFonts w:hint="eastAsia" w:ascii="宋体" w:hAnsi="宋体" w:eastAsia="宋体" w:cs="宋体"/>
                <w:b/>
                <w:sz w:val="24"/>
              </w:rPr>
              <w:t>监测结果</w:t>
            </w:r>
          </w:p>
          <w:p>
            <w:pPr>
              <w:spacing w:line="380" w:lineRule="exact"/>
              <w:jc w:val="center"/>
              <w:rPr>
                <w:rFonts w:hint="eastAsia" w:ascii="宋体" w:hAnsi="宋体" w:eastAsia="宋体" w:cs="宋体"/>
                <w:sz w:val="24"/>
              </w:rPr>
            </w:pPr>
            <w:r>
              <w:rPr>
                <w:rFonts w:hint="eastAsia" w:ascii="宋体" w:hAnsi="宋体" w:eastAsia="宋体" w:cs="宋体"/>
                <w:b/>
                <w:sz w:val="24"/>
              </w:rPr>
              <w:t>公开时限</w:t>
            </w:r>
          </w:p>
        </w:tc>
        <w:tc>
          <w:tcPr>
            <w:tcW w:w="11474" w:type="dxa"/>
            <w:gridSpan w:val="7"/>
            <w:vAlign w:val="top"/>
          </w:tcPr>
          <w:p>
            <w:pPr>
              <w:spacing w:beforeLines="20" w:afterLines="20"/>
              <w:jc w:val="left"/>
              <w:rPr>
                <w:rFonts w:hint="eastAsia" w:ascii="宋体" w:hAnsi="宋体" w:eastAsia="宋体" w:cs="宋体"/>
                <w:sz w:val="24"/>
              </w:rPr>
            </w:pPr>
          </w:p>
          <w:p>
            <w:pPr>
              <w:numPr>
                <w:ilvl w:val="0"/>
                <w:numId w:val="0"/>
              </w:numPr>
              <w:spacing w:beforeLines="20" w:afterLines="20"/>
              <w:ind w:leftChars="0"/>
              <w:jc w:val="left"/>
              <w:rPr>
                <w:rFonts w:hint="eastAsia" w:ascii="宋体" w:hAnsi="宋体" w:eastAsia="宋体" w:cs="宋体"/>
                <w:sz w:val="24"/>
              </w:rPr>
            </w:pPr>
            <w:r>
              <w:rPr>
                <w:rFonts w:hint="eastAsia" w:ascii="宋体" w:hAnsi="宋体" w:eastAsia="宋体" w:cs="宋体"/>
                <w:sz w:val="24"/>
              </w:rPr>
              <w:t>每季度</w:t>
            </w:r>
            <w:r>
              <w:rPr>
                <w:rFonts w:hint="eastAsia" w:ascii="宋体" w:hAnsi="宋体" w:eastAsia="宋体" w:cs="宋体"/>
                <w:sz w:val="24"/>
                <w:lang w:eastAsia="zh-CN"/>
              </w:rPr>
              <w:t>次月</w:t>
            </w:r>
            <w:r>
              <w:rPr>
                <w:rFonts w:hint="eastAsia" w:ascii="宋体" w:hAnsi="宋体" w:eastAsia="宋体" w:cs="宋体"/>
                <w:sz w:val="24"/>
                <w:lang w:val="en-US" w:eastAsia="zh-CN"/>
              </w:rPr>
              <w:t>10</w:t>
            </w:r>
            <w:r>
              <w:rPr>
                <w:rFonts w:hint="eastAsia" w:ascii="宋体" w:hAnsi="宋体" w:eastAsia="宋体" w:cs="宋体"/>
                <w:sz w:val="24"/>
              </w:rPr>
              <w:t>日-</w:t>
            </w:r>
            <w:r>
              <w:rPr>
                <w:rFonts w:hint="eastAsia" w:ascii="宋体" w:hAnsi="宋体" w:eastAsia="宋体" w:cs="宋体"/>
                <w:sz w:val="24"/>
                <w:lang w:val="en-US" w:eastAsia="zh-CN"/>
              </w:rPr>
              <w:t>15</w:t>
            </w:r>
            <w:r>
              <w:rPr>
                <w:rFonts w:hint="eastAsia" w:ascii="宋体" w:hAnsi="宋体" w:eastAsia="宋体" w:cs="宋体"/>
                <w:sz w:val="24"/>
              </w:rPr>
              <w:t>日公布。</w:t>
            </w:r>
          </w:p>
        </w:tc>
      </w:tr>
    </w:tbl>
    <w:p>
      <w:pPr>
        <w:spacing w:line="400" w:lineRule="exact"/>
        <w:jc w:val="left"/>
        <w:rPr>
          <w:sz w:val="24"/>
        </w:rPr>
      </w:pPr>
      <w:r>
        <w:rPr>
          <w:rFonts w:hint="eastAsia"/>
          <w:b/>
          <w:sz w:val="24"/>
        </w:rPr>
        <w:t>备注：</w:t>
      </w:r>
      <w:r>
        <w:rPr>
          <w:rFonts w:hint="eastAsia"/>
          <w:sz w:val="24"/>
        </w:rPr>
        <w:t>按照水污染物排放、大气污染物排放、厂界噪声和周边环境质量分表</w:t>
      </w:r>
    </w:p>
    <w:p>
      <w:pPr>
        <w:spacing w:line="240" w:lineRule="auto"/>
        <w:jc w:val="left"/>
        <w:rPr>
          <w:rFonts w:hint="eastAsia" w:eastAsia="宋体"/>
          <w:lang w:eastAsia="zh-CN"/>
        </w:rPr>
      </w:pPr>
      <w:r>
        <w:rPr>
          <w:rFonts w:hint="eastAsia"/>
          <w:lang w:val="en-US" w:eastAsia="zh-CN"/>
        </w:rPr>
        <w:t xml:space="preserve"> </w:t>
      </w:r>
      <w:r>
        <w:drawing>
          <wp:inline distT="0" distB="0" distL="114300" distR="114300">
            <wp:extent cx="6405245" cy="4305300"/>
            <wp:effectExtent l="0" t="0" r="146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6405245" cy="4305300"/>
                    </a:xfrm>
                    <a:prstGeom prst="rect">
                      <a:avLst/>
                    </a:prstGeom>
                    <a:noFill/>
                    <a:ln>
                      <a:noFill/>
                    </a:ln>
                  </pic:spPr>
                </pic:pic>
              </a:graphicData>
            </a:graphic>
          </wp:inline>
        </w:drawing>
      </w:r>
    </w:p>
    <w:p>
      <w:pPr>
        <w:spacing w:line="240" w:lineRule="auto"/>
        <w:ind w:firstLine="1680" w:firstLineChars="800"/>
        <w:jc w:val="both"/>
        <w:rPr>
          <w:rFonts w:hint="eastAsia" w:eastAsia="宋体"/>
          <w:sz w:val="24"/>
          <w:lang w:eastAsia="zh-CN"/>
        </w:rPr>
      </w:pPr>
      <w:r>
        <w:rPr>
          <w:rFonts w:hint="eastAsia"/>
          <w:lang w:eastAsia="zh-CN"/>
        </w:rPr>
        <w:t>废气及噪声监测点位示意图</w:t>
      </w:r>
    </w:p>
    <w:p>
      <w:pPr>
        <w:spacing w:line="400" w:lineRule="exact"/>
        <w:jc w:val="left"/>
        <w:rPr>
          <w:sz w:val="24"/>
        </w:rPr>
        <w:sectPr>
          <w:pgSz w:w="16838" w:h="11906" w:orient="landscape"/>
          <w:pgMar w:top="1418" w:right="1440" w:bottom="935" w:left="1440" w:header="851" w:footer="992" w:gutter="0"/>
          <w:cols w:space="720" w:num="1"/>
          <w:docGrid w:type="lines" w:linePitch="312" w:charSpace="0"/>
        </w:sectPr>
      </w:pPr>
    </w:p>
    <w:p>
      <w:pPr>
        <w:spacing w:line="400" w:lineRule="exact"/>
        <w:rPr>
          <w:b/>
          <w:sz w:val="28"/>
          <w:szCs w:val="28"/>
        </w:rPr>
      </w:pPr>
    </w:p>
    <w:p>
      <w:pPr>
        <w:pStyle w:val="5"/>
        <w:snapToGrid w:val="0"/>
        <w:spacing w:after="0" w:line="360" w:lineRule="auto"/>
        <w:ind w:left="0" w:leftChars="0" w:firstLine="0" w:firstLineChars="0"/>
        <w:rPr>
          <w:rFonts w:ascii="黑体" w:hAnsi="黑体" w:eastAsia="黑体"/>
          <w:sz w:val="32"/>
          <w:szCs w:val="32"/>
          <w:lang w:eastAsia="zh-CN"/>
        </w:rPr>
      </w:pPr>
      <w:r>
        <w:rPr>
          <w:rFonts w:hint="eastAsia" w:ascii="黑体" w:hAnsi="黑体" w:eastAsia="黑体"/>
          <w:sz w:val="32"/>
          <w:szCs w:val="32"/>
          <w:lang w:eastAsia="zh-CN"/>
        </w:rPr>
        <w:t>三、监测点位示意图</w:t>
      </w:r>
    </w:p>
    <w:p>
      <w:pPr>
        <w:pStyle w:val="5"/>
        <w:snapToGrid w:val="0"/>
        <w:spacing w:after="0" w:line="360" w:lineRule="auto"/>
        <w:ind w:left="0" w:firstLine="640" w:firstLineChars="200"/>
        <w:rPr>
          <w:rFonts w:ascii="仿宋_GB2312" w:hAnsi="宋体" w:eastAsia="仿宋_GB2312"/>
          <w:sz w:val="32"/>
          <w:szCs w:val="32"/>
          <w:lang w:eastAsia="zh-CN"/>
        </w:rPr>
      </w:pPr>
      <w:r>
        <w:rPr>
          <w:rFonts w:hint="eastAsia" w:ascii="仿宋_GB2312" w:hAnsi="宋体" w:eastAsia="仿宋_GB2312"/>
          <w:sz w:val="32"/>
          <w:szCs w:val="32"/>
          <w:lang w:eastAsia="zh-CN"/>
        </w:rPr>
        <w:t>企业可根据具体情况自行确定比例，标明工厂方位，四邻，标明办公区域、主要生产车间（场所）及主要设备的位置，标明各种污染治理设施的位置，标明污水排放口及其监测点位的编号及其名称。</w:t>
      </w:r>
    </w:p>
    <w:p>
      <w:pPr>
        <w:pStyle w:val="5"/>
        <w:snapToGrid w:val="0"/>
        <w:spacing w:after="0" w:line="360" w:lineRule="auto"/>
        <w:ind w:left="0" w:firstLine="640" w:firstLineChars="200"/>
        <w:rPr>
          <w:rFonts w:ascii="仿宋_GB2312" w:hAnsi="宋体" w:eastAsia="仿宋_GB2312"/>
          <w:sz w:val="32"/>
          <w:szCs w:val="32"/>
          <w:lang w:eastAsia="zh-CN"/>
        </w:rPr>
      </w:pPr>
      <w:r>
        <w:rPr>
          <w:rFonts w:hint="eastAsia" w:ascii="仿宋_GB2312" w:hAnsi="宋体" w:eastAsia="仿宋_GB2312"/>
          <w:sz w:val="32"/>
          <w:szCs w:val="32"/>
          <w:lang w:eastAsia="zh-CN"/>
        </w:rPr>
        <w:t>见附件二</w:t>
      </w:r>
    </w:p>
    <w:p>
      <w:pPr>
        <w:pStyle w:val="5"/>
        <w:snapToGrid w:val="0"/>
        <w:spacing w:after="0" w:line="360" w:lineRule="auto"/>
        <w:ind w:left="0" w:firstLine="440" w:firstLineChars="200"/>
        <w:rPr>
          <w:rFonts w:hint="eastAsia" w:ascii="黑体" w:hAnsi="黑体" w:eastAsia="黑体"/>
          <w:sz w:val="32"/>
          <w:szCs w:val="32"/>
          <w:lang w:eastAsia="zh-CN"/>
        </w:rPr>
      </w:pPr>
      <w:r>
        <w:drawing>
          <wp:inline distT="0" distB="0" distL="114300" distR="114300">
            <wp:extent cx="5937250" cy="4078605"/>
            <wp:effectExtent l="0" t="0" r="635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937250" cy="4078605"/>
                    </a:xfrm>
                    <a:prstGeom prst="rect">
                      <a:avLst/>
                    </a:prstGeom>
                    <a:noFill/>
                    <a:ln>
                      <a:noFill/>
                    </a:ln>
                  </pic:spPr>
                </pic:pic>
              </a:graphicData>
            </a:graphic>
          </wp:inline>
        </w:drawing>
      </w:r>
    </w:p>
    <w:p>
      <w:pPr>
        <w:pStyle w:val="5"/>
        <w:snapToGrid w:val="0"/>
        <w:spacing w:after="0" w:line="360" w:lineRule="auto"/>
        <w:ind w:left="0" w:firstLine="640" w:firstLineChars="200"/>
        <w:rPr>
          <w:rFonts w:ascii="黑体" w:hAnsi="黑体" w:eastAsia="黑体"/>
          <w:sz w:val="32"/>
          <w:szCs w:val="32"/>
          <w:lang w:eastAsia="zh-CN"/>
        </w:rPr>
      </w:pPr>
      <w:r>
        <w:rPr>
          <w:rFonts w:hint="eastAsia" w:ascii="黑体" w:hAnsi="黑体" w:eastAsia="黑体"/>
          <w:sz w:val="32"/>
          <w:szCs w:val="32"/>
          <w:lang w:eastAsia="zh-CN"/>
        </w:rPr>
        <w:t>四、附件</w:t>
      </w:r>
    </w:p>
    <w:p>
      <w:pPr>
        <w:pStyle w:val="5"/>
        <w:snapToGrid w:val="0"/>
        <w:spacing w:after="0" w:line="360" w:lineRule="auto"/>
        <w:ind w:left="0" w:firstLine="640" w:firstLineChars="200"/>
        <w:rPr>
          <w:rFonts w:hint="eastAsia" w:ascii="仿宋_GB2312" w:hAnsi="宋体" w:eastAsia="仿宋_GB2312"/>
          <w:sz w:val="32"/>
          <w:szCs w:val="32"/>
          <w:lang w:eastAsia="zh-CN"/>
        </w:rPr>
      </w:pPr>
      <w:r>
        <w:rPr>
          <w:rFonts w:ascii="仿宋_GB2312" w:hAnsi="宋体" w:eastAsia="仿宋_GB2312"/>
          <w:sz w:val="32"/>
          <w:szCs w:val="32"/>
          <w:lang w:eastAsia="zh-CN"/>
        </w:rPr>
        <w:t>1</w:t>
      </w:r>
      <w:r>
        <w:rPr>
          <w:rFonts w:hint="eastAsia" w:ascii="仿宋_GB2312" w:hAnsi="宋体" w:eastAsia="仿宋_GB2312"/>
          <w:sz w:val="32"/>
          <w:szCs w:val="32"/>
          <w:lang w:eastAsia="zh-CN"/>
        </w:rPr>
        <w:t>、企业排污许可证复印件；</w:t>
      </w:r>
    </w:p>
    <w:p>
      <w:pPr>
        <w:pStyle w:val="5"/>
        <w:snapToGrid w:val="0"/>
        <w:spacing w:after="0" w:line="360" w:lineRule="auto"/>
        <w:ind w:left="0" w:firstLine="640" w:firstLineChars="200"/>
        <w:rPr>
          <w:rFonts w:hint="eastAsia" w:ascii="仿宋_GB2312" w:hAnsi="宋体" w:eastAsia="仿宋_GB2312"/>
          <w:sz w:val="32"/>
          <w:szCs w:val="32"/>
          <w:lang w:eastAsia="zh-CN"/>
        </w:rPr>
        <w:sectPr>
          <w:pgSz w:w="11906" w:h="16838"/>
          <w:pgMar w:top="1440" w:right="1134" w:bottom="1440" w:left="1418" w:header="851" w:footer="992" w:gutter="0"/>
          <w:cols w:space="720" w:num="1"/>
          <w:docGrid w:type="lines" w:linePitch="312" w:charSpace="0"/>
        </w:sectPr>
      </w:pPr>
    </w:p>
    <w:p>
      <w:pPr>
        <w:pStyle w:val="5"/>
        <w:snapToGrid w:val="0"/>
        <w:spacing w:after="0" w:line="360" w:lineRule="auto"/>
        <w:ind w:left="0" w:firstLine="640" w:firstLineChars="200"/>
        <w:rPr>
          <w:rFonts w:hint="eastAsia" w:ascii="仿宋_GB2312" w:hAnsi="宋体" w:eastAsia="仿宋_GB2312"/>
          <w:sz w:val="32"/>
          <w:szCs w:val="32"/>
          <w:lang w:eastAsia="zh-CN"/>
        </w:rPr>
        <w:sectPr>
          <w:pgSz w:w="16838" w:h="11906" w:orient="landscape"/>
          <w:pgMar w:top="1418" w:right="1440" w:bottom="1134" w:left="1440" w:header="851" w:footer="992" w:gutter="0"/>
          <w:cols w:space="720" w:num="1"/>
          <w:docGrid w:type="lines" w:linePitch="312" w:charSpace="0"/>
        </w:sectPr>
      </w:pPr>
      <w:r>
        <w:rPr>
          <w:rFonts w:hint="eastAsia" w:ascii="仿宋_GB2312" w:hAnsi="宋体" w:eastAsia="仿宋_GB2312"/>
          <w:sz w:val="32"/>
          <w:szCs w:val="32"/>
          <w:lang w:eastAsia="zh-CN"/>
        </w:rPr>
        <w:drawing>
          <wp:inline distT="0" distB="0" distL="114300" distR="114300">
            <wp:extent cx="5935345" cy="7914005"/>
            <wp:effectExtent l="0" t="0" r="10795" b="8255"/>
            <wp:docPr id="4" name="图片 4" descr="2298fc2e0235ea5afafe8fffb849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98fc2e0235ea5afafe8fffb849dee"/>
                    <pic:cNvPicPr>
                      <a:picLocks noChangeAspect="1"/>
                    </pic:cNvPicPr>
                  </pic:nvPicPr>
                  <pic:blipFill>
                    <a:blip r:embed="rId7"/>
                    <a:stretch>
                      <a:fillRect/>
                    </a:stretch>
                  </pic:blipFill>
                  <pic:spPr>
                    <a:xfrm rot="16200000">
                      <a:off x="0" y="0"/>
                      <a:ext cx="5935345" cy="7914005"/>
                    </a:xfrm>
                    <a:prstGeom prst="rect">
                      <a:avLst/>
                    </a:prstGeom>
                  </pic:spPr>
                </pic:pic>
              </a:graphicData>
            </a:graphic>
          </wp:inline>
        </w:drawing>
      </w:r>
    </w:p>
    <w:p>
      <w:pPr>
        <w:pStyle w:val="5"/>
        <w:snapToGrid w:val="0"/>
        <w:spacing w:after="0" w:line="360" w:lineRule="auto"/>
        <w:ind w:left="0" w:firstLine="640" w:firstLineChars="200"/>
        <w:rPr>
          <w:rFonts w:hint="eastAsia" w:ascii="仿宋_GB2312" w:hAnsi="宋体" w:eastAsia="仿宋_GB2312"/>
          <w:sz w:val="32"/>
          <w:szCs w:val="32"/>
          <w:lang w:eastAsia="zh-CN"/>
        </w:rPr>
      </w:pPr>
    </w:p>
    <w:p>
      <w:pPr>
        <w:pStyle w:val="5"/>
        <w:numPr>
          <w:ilvl w:val="0"/>
          <w:numId w:val="5"/>
        </w:numPr>
        <w:snapToGrid w:val="0"/>
        <w:spacing w:after="0" w:line="360" w:lineRule="auto"/>
        <w:ind w:left="0" w:leftChars="0" w:firstLine="31680" w:firstLineChars="0"/>
        <w:rPr>
          <w:rFonts w:hint="eastAsia" w:ascii="仿宋_GB2312" w:hAnsi="宋体" w:eastAsia="仿宋_GB2312"/>
          <w:sz w:val="32"/>
          <w:szCs w:val="32"/>
          <w:lang w:eastAsia="zh-CN"/>
        </w:rPr>
      </w:pPr>
    </w:p>
    <w:p>
      <w:pPr>
        <w:pStyle w:val="5"/>
        <w:numPr>
          <w:ilvl w:val="0"/>
          <w:numId w:val="5"/>
        </w:numPr>
        <w:snapToGrid w:val="0"/>
        <w:spacing w:after="0" w:line="360" w:lineRule="auto"/>
        <w:ind w:left="0" w:leftChars="0" w:firstLine="31680" w:firstLineChars="0"/>
        <w:rPr>
          <w:rFonts w:hint="eastAsia" w:ascii="仿宋_GB2312" w:hAnsi="宋体" w:eastAsia="仿宋_GB2312"/>
          <w:sz w:val="32"/>
          <w:szCs w:val="32"/>
          <w:lang w:eastAsia="zh-CN"/>
        </w:rPr>
      </w:pPr>
      <w:r>
        <w:rPr>
          <w:rFonts w:hint="eastAsia" w:ascii="仿宋_GB2312" w:hAnsi="宋体" w:eastAsia="仿宋_GB2312"/>
          <w:sz w:val="32"/>
          <w:szCs w:val="32"/>
          <w:lang w:eastAsia="zh-CN"/>
        </w:rPr>
        <w:t>环</w:t>
      </w:r>
      <w:r>
        <w:rPr>
          <w:rFonts w:hint="eastAsia" w:ascii="仿宋_GB2312" w:hAnsi="宋体" w:eastAsia="仿宋_GB2312"/>
          <w:sz w:val="32"/>
          <w:szCs w:val="32"/>
          <w:lang w:val="en-US" w:eastAsia="zh-CN"/>
        </w:rPr>
        <w:t>2、</w:t>
      </w:r>
      <w:r>
        <w:rPr>
          <w:rFonts w:hint="eastAsia" w:ascii="仿宋_GB2312" w:hAnsi="宋体" w:eastAsia="仿宋_GB2312"/>
          <w:sz w:val="32"/>
          <w:szCs w:val="32"/>
          <w:lang w:eastAsia="zh-CN"/>
        </w:rPr>
        <w:t>境影响评价报告书（表）及其批复中有关环境监测内容复印件。</w:t>
      </w:r>
    </w:p>
    <w:p>
      <w:pPr>
        <w:pStyle w:val="5"/>
        <w:widowControl/>
        <w:numPr>
          <w:ilvl w:val="0"/>
          <w:numId w:val="0"/>
        </w:numPr>
        <w:snapToGrid w:val="0"/>
        <w:spacing w:after="0" w:line="360" w:lineRule="auto"/>
        <w:ind w:firstLine="3200" w:firstLineChars="1000"/>
        <w:contextualSpacing/>
        <w:jc w:val="left"/>
        <w:rPr>
          <w:rFonts w:hint="eastAsia" w:ascii="仿宋_GB2312" w:hAnsi="宋体" w:eastAsia="仿宋_GB2312"/>
          <w:sz w:val="32"/>
          <w:szCs w:val="32"/>
          <w:lang w:eastAsia="zh-CN"/>
        </w:rPr>
      </w:pPr>
      <w:r>
        <w:rPr>
          <w:rFonts w:hint="eastAsia" w:ascii="仿宋_GB2312" w:hAnsi="宋体" w:eastAsia="仿宋_GB2312"/>
          <w:sz w:val="32"/>
          <w:szCs w:val="32"/>
          <w:lang w:eastAsia="zh-CN"/>
        </w:rPr>
        <w:t>环评批复</w:t>
      </w:r>
    </w:p>
    <w:p>
      <w:pPr>
        <w:pStyle w:val="5"/>
        <w:ind w:left="0"/>
        <w:outlineLvl w:val="0"/>
      </w:pPr>
    </w:p>
    <w:p>
      <w:pPr>
        <w:pStyle w:val="5"/>
        <w:ind w:left="0"/>
        <w:outlineLvl w:val="0"/>
      </w:pPr>
      <w:r>
        <w:drawing>
          <wp:inline distT="0" distB="0" distL="114300" distR="114300">
            <wp:extent cx="4678680" cy="6416040"/>
            <wp:effectExtent l="0" t="0" r="7620" b="381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8"/>
                    <a:stretch>
                      <a:fillRect/>
                    </a:stretch>
                  </pic:blipFill>
                  <pic:spPr>
                    <a:xfrm>
                      <a:off x="0" y="0"/>
                      <a:ext cx="4678680" cy="6416040"/>
                    </a:xfrm>
                    <a:prstGeom prst="rect">
                      <a:avLst/>
                    </a:prstGeom>
                    <a:noFill/>
                    <a:ln>
                      <a:noFill/>
                    </a:ln>
                  </pic:spPr>
                </pic:pic>
              </a:graphicData>
            </a:graphic>
          </wp:inline>
        </w:drawing>
      </w:r>
    </w:p>
    <w:p>
      <w:pPr>
        <w:pStyle w:val="5"/>
        <w:ind w:left="0"/>
        <w:outlineLvl w:val="0"/>
      </w:pPr>
    </w:p>
    <w:p>
      <w:pPr>
        <w:pStyle w:val="5"/>
        <w:widowControl/>
        <w:numPr>
          <w:ilvl w:val="0"/>
          <w:numId w:val="0"/>
        </w:numPr>
        <w:snapToGrid w:val="0"/>
        <w:spacing w:after="0" w:line="360" w:lineRule="auto"/>
        <w:contextualSpacing/>
        <w:jc w:val="left"/>
        <w:rPr>
          <w:rFonts w:hint="eastAsia" w:ascii="仿宋_GB2312" w:hAnsi="宋体" w:eastAsia="仿宋_GB2312"/>
          <w:sz w:val="32"/>
          <w:szCs w:val="32"/>
          <w:lang w:eastAsia="zh-CN"/>
        </w:rPr>
      </w:pPr>
      <w:r>
        <w:drawing>
          <wp:inline distT="0" distB="0" distL="114300" distR="114300">
            <wp:extent cx="5937250" cy="8030210"/>
            <wp:effectExtent l="0" t="0" r="6350" b="8890"/>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pic:cNvPicPr>
                      <a:picLocks noChangeAspect="1"/>
                    </pic:cNvPicPr>
                  </pic:nvPicPr>
                  <pic:blipFill>
                    <a:blip r:embed="rId9"/>
                    <a:stretch>
                      <a:fillRect/>
                    </a:stretch>
                  </pic:blipFill>
                  <pic:spPr>
                    <a:xfrm>
                      <a:off x="0" y="0"/>
                      <a:ext cx="5937250" cy="8030210"/>
                    </a:xfrm>
                    <a:prstGeom prst="rect">
                      <a:avLst/>
                    </a:prstGeom>
                    <a:noFill/>
                    <a:ln>
                      <a:noFill/>
                    </a:ln>
                  </pic:spPr>
                </pic:pic>
              </a:graphicData>
            </a:graphic>
          </wp:inline>
        </w:drawing>
      </w:r>
    </w:p>
    <w:p>
      <w:pPr>
        <w:pStyle w:val="5"/>
        <w:ind w:left="0"/>
        <w:outlineLvl w:val="0"/>
        <w:rPr>
          <w:rFonts w:hint="eastAsia"/>
          <w:lang w:eastAsia="zh-CN"/>
        </w:rPr>
      </w:pPr>
    </w:p>
    <w:p>
      <w:pPr>
        <w:pStyle w:val="5"/>
        <w:ind w:left="0"/>
        <w:outlineLvl w:val="0"/>
      </w:pPr>
    </w:p>
    <w:sectPr>
      <w:pgSz w:w="11906" w:h="16838"/>
      <w:pgMar w:top="1440" w:right="113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07F132"/>
    <w:multiLevelType w:val="singleLevel"/>
    <w:tmpl w:val="8807F132"/>
    <w:lvl w:ilvl="0" w:tentative="0">
      <w:start w:val="5"/>
      <w:numFmt w:val="decimal"/>
      <w:suff w:val="nothing"/>
      <w:lvlText w:val="%1、"/>
      <w:lvlJc w:val="left"/>
    </w:lvl>
  </w:abstractNum>
  <w:abstractNum w:abstractNumId="1">
    <w:nsid w:val="15A7DEA7"/>
    <w:multiLevelType w:val="singleLevel"/>
    <w:tmpl w:val="15A7DEA7"/>
    <w:lvl w:ilvl="0" w:tentative="0">
      <w:start w:val="1"/>
      <w:numFmt w:val="decimal"/>
      <w:suff w:val="nothing"/>
      <w:lvlText w:val="%1、"/>
      <w:lvlJc w:val="left"/>
    </w:lvl>
  </w:abstractNum>
  <w:abstractNum w:abstractNumId="2">
    <w:nsid w:val="24B6218A"/>
    <w:multiLevelType w:val="multilevel"/>
    <w:tmpl w:val="24B6218A"/>
    <w:lvl w:ilvl="0" w:tentative="0">
      <w:start w:val="1"/>
      <w:numFmt w:val="decimal"/>
      <w:lvlText w:val="%1、"/>
      <w:lvlJc w:val="left"/>
      <w:pPr>
        <w:tabs>
          <w:tab w:val="left" w:pos="360"/>
        </w:tabs>
        <w:ind w:left="360" w:hanging="36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539424FC"/>
    <w:multiLevelType w:val="multilevel"/>
    <w:tmpl w:val="539424FC"/>
    <w:lvl w:ilvl="0" w:tentative="0">
      <w:start w:val="1"/>
      <w:numFmt w:val="decimal"/>
      <w:lvlText w:val="%1、"/>
      <w:lvlJc w:val="left"/>
      <w:pPr>
        <w:tabs>
          <w:tab w:val="left" w:pos="360"/>
        </w:tabs>
        <w:ind w:left="36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5DFF5B07"/>
    <w:multiLevelType w:val="multilevel"/>
    <w:tmpl w:val="5DFF5B07"/>
    <w:lvl w:ilvl="0" w:tentative="0">
      <w:start w:val="1"/>
      <w:numFmt w:val="decimal"/>
      <w:lvlText w:val="%1、"/>
      <w:lvlJc w:val="left"/>
      <w:pPr>
        <w:tabs>
          <w:tab w:val="left" w:pos="360"/>
        </w:tabs>
        <w:ind w:left="360" w:hanging="360"/>
      </w:pPr>
      <w:rPr>
        <w:rFonts w:hint="default" w:ascii="仿宋" w:hAnsi="仿宋" w:eastAsia="仿宋"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BC70F7"/>
    <w:rsid w:val="092521D2"/>
    <w:rsid w:val="0D1853BB"/>
    <w:rsid w:val="0D4F32B5"/>
    <w:rsid w:val="20DE03CF"/>
    <w:rsid w:val="277624D0"/>
    <w:rsid w:val="2F2703C3"/>
    <w:rsid w:val="30287B9C"/>
    <w:rsid w:val="368404F8"/>
    <w:rsid w:val="36BC70F7"/>
    <w:rsid w:val="3A3B6B01"/>
    <w:rsid w:val="45372CAE"/>
    <w:rsid w:val="48DD74DF"/>
    <w:rsid w:val="4DAA1431"/>
    <w:rsid w:val="50C555A9"/>
    <w:rsid w:val="666B3B18"/>
    <w:rsid w:val="66B91EE8"/>
    <w:rsid w:val="6D5072A4"/>
    <w:rsid w:val="716244B2"/>
    <w:rsid w:val="72331AE4"/>
    <w:rsid w:val="7E884969"/>
    <w:rsid w:val="7F2A40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customStyle="1" w:styleId="4">
    <w:name w:val="列出段落1"/>
    <w:basedOn w:val="1"/>
    <w:qFormat/>
    <w:uiPriority w:val="99"/>
    <w:pPr>
      <w:ind w:firstLine="420" w:firstLineChars="200"/>
    </w:pPr>
    <w:rPr>
      <w:rFonts w:ascii="Calibri" w:hAnsi="Calibri"/>
      <w:szCs w:val="22"/>
    </w:rPr>
  </w:style>
  <w:style w:type="paragraph" w:customStyle="1" w:styleId="5">
    <w:name w:val="List Paragraph1"/>
    <w:basedOn w:val="1"/>
    <w:qFormat/>
    <w:uiPriority w:val="99"/>
    <w:pPr>
      <w:widowControl/>
      <w:spacing w:after="200" w:line="252" w:lineRule="auto"/>
      <w:ind w:left="720"/>
      <w:contextualSpacing/>
      <w:jc w:val="left"/>
    </w:pPr>
    <w:rPr>
      <w:rFonts w:ascii="Cambria" w:hAnsi="Cambria"/>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2019-09-27T02:17:00Z</dcterms:created>
  <dc:creator>周保宗</dc:creator>
  <cp:lastModifiedBy>周保宗</cp:lastModifiedBy>
  <dcterms:modified xsi:type="dcterms:W3CDTF">2020-02-17T03:24:05Z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